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462FF" w14:textId="016F0058" w:rsidR="00B96AEF" w:rsidRDefault="00CD21F5" w:rsidP="00264EBD">
      <w:pPr>
        <w:pStyle w:val="Sansinterligne"/>
        <w:jc w:val="center"/>
        <w:rPr>
          <w:rFonts w:ascii="Aptos" w:hAnsi="Aptos"/>
          <w:b/>
          <w:bCs/>
          <w:color w:val="1F4E79" w:themeColor="accent5" w:themeShade="80"/>
          <w:sz w:val="32"/>
          <w:szCs w:val="32"/>
        </w:rPr>
      </w:pPr>
      <w:r w:rsidRPr="008E43AA">
        <w:rPr>
          <w:noProof/>
        </w:rPr>
        <w:drawing>
          <wp:anchor distT="0" distB="0" distL="114300" distR="114300" simplePos="0" relativeHeight="251658240" behindDoc="0" locked="0" layoutInCell="1" allowOverlap="1" wp14:anchorId="1A6CEEB0" wp14:editId="62DD046A">
            <wp:simplePos x="0" y="0"/>
            <wp:positionH relativeFrom="column">
              <wp:posOffset>1372235</wp:posOffset>
            </wp:positionH>
            <wp:positionV relativeFrom="paragraph">
              <wp:posOffset>-798195</wp:posOffset>
            </wp:positionV>
            <wp:extent cx="3642360" cy="830580"/>
            <wp:effectExtent l="0" t="0" r="0" b="7620"/>
            <wp:wrapNone/>
            <wp:docPr id="136477753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42360" cy="830580"/>
                    </a:xfrm>
                    <a:prstGeom prst="rect">
                      <a:avLst/>
                    </a:prstGeom>
                    <a:noFill/>
                    <a:ln>
                      <a:noFill/>
                    </a:ln>
                  </pic:spPr>
                </pic:pic>
              </a:graphicData>
            </a:graphic>
          </wp:anchor>
        </w:drawing>
      </w:r>
    </w:p>
    <w:p w14:paraId="02053FF4" w14:textId="77777777" w:rsidR="00CD21F5" w:rsidRDefault="00CD21F5" w:rsidP="00264EBD">
      <w:pPr>
        <w:pStyle w:val="Sansinterligne"/>
        <w:jc w:val="center"/>
        <w:rPr>
          <w:rFonts w:ascii="Aptos" w:hAnsi="Aptos"/>
          <w:b/>
          <w:bCs/>
          <w:color w:val="1F4E79" w:themeColor="accent5" w:themeShade="80"/>
          <w:sz w:val="32"/>
          <w:szCs w:val="32"/>
        </w:rPr>
      </w:pPr>
    </w:p>
    <w:p w14:paraId="12AE2282" w14:textId="53FF3E48" w:rsidR="00401F14" w:rsidRPr="005D6D5A" w:rsidRDefault="008B31CF" w:rsidP="00264EBD">
      <w:pPr>
        <w:pStyle w:val="Sansinterligne"/>
        <w:jc w:val="center"/>
        <w:rPr>
          <w:rFonts w:ascii="Aptos" w:hAnsi="Aptos"/>
          <w:b/>
          <w:bCs/>
          <w:color w:val="1F4E79" w:themeColor="accent5" w:themeShade="80"/>
          <w:sz w:val="32"/>
          <w:szCs w:val="32"/>
        </w:rPr>
      </w:pPr>
      <w:r w:rsidRPr="0030339A">
        <w:rPr>
          <w:rFonts w:ascii="Aptos" w:hAnsi="Aptos"/>
          <w:b/>
          <w:bCs/>
          <w:color w:val="1F4E79" w:themeColor="accent5" w:themeShade="80"/>
          <w:sz w:val="32"/>
          <w:szCs w:val="32"/>
        </w:rPr>
        <w:t xml:space="preserve">COFICERT RECONDUIT LE CERTIFICAT MSI 20000 EN FAVEUR DE </w:t>
      </w:r>
      <w:r>
        <w:rPr>
          <w:rFonts w:ascii="Aptos" w:hAnsi="Aptos"/>
          <w:b/>
          <w:bCs/>
          <w:color w:val="1F4E79" w:themeColor="accent5" w:themeShade="80"/>
          <w:sz w:val="32"/>
          <w:szCs w:val="32"/>
        </w:rPr>
        <w:t>L’UIB</w:t>
      </w:r>
    </w:p>
    <w:p w14:paraId="4BF002F1" w14:textId="77777777" w:rsidR="00F82916" w:rsidRDefault="00F82916" w:rsidP="00264EBD">
      <w:pPr>
        <w:pStyle w:val="Sansinterligne"/>
        <w:jc w:val="both"/>
        <w:rPr>
          <w:rFonts w:ascii="Aptos" w:hAnsi="Aptos"/>
        </w:rPr>
      </w:pPr>
    </w:p>
    <w:p w14:paraId="7CDF6F2A" w14:textId="77777777" w:rsidR="00B96AEF" w:rsidRDefault="00B96AEF" w:rsidP="00264EBD">
      <w:pPr>
        <w:pStyle w:val="Sansinterligne"/>
        <w:jc w:val="both"/>
        <w:rPr>
          <w:rFonts w:ascii="Aptos" w:hAnsi="Aptos"/>
        </w:rPr>
      </w:pPr>
    </w:p>
    <w:p w14:paraId="3328E6D9" w14:textId="004CD1E3" w:rsidR="00B96AEF" w:rsidRDefault="00B96AEF" w:rsidP="00264EBD">
      <w:pPr>
        <w:pStyle w:val="Sansinterligne"/>
        <w:jc w:val="both"/>
        <w:rPr>
          <w:rFonts w:ascii="Aptos" w:hAnsi="Aptos"/>
        </w:rPr>
      </w:pPr>
      <w:r w:rsidRPr="00AF1E00">
        <w:rPr>
          <w:rFonts w:ascii="Aptos" w:hAnsi="Aptos"/>
          <w:noProof/>
          <w:sz w:val="24"/>
          <w:szCs w:val="24"/>
        </w:rPr>
        <w:drawing>
          <wp:inline distT="0" distB="0" distL="0" distR="0" wp14:anchorId="1E1C9A14" wp14:editId="06CDA092">
            <wp:extent cx="6479540" cy="3488690"/>
            <wp:effectExtent l="0" t="0" r="0" b="0"/>
            <wp:docPr id="550208527" name="Image 1" descr="Une image contenant habits, personne, sourire, ho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208527" name="Image 1" descr="Une image contenant habits, personne, sourire, homme&#10;&#10;Description générée automatiquement"/>
                    <pic:cNvPicPr/>
                  </pic:nvPicPr>
                  <pic:blipFill>
                    <a:blip r:embed="rId7"/>
                    <a:stretch>
                      <a:fillRect/>
                    </a:stretch>
                  </pic:blipFill>
                  <pic:spPr>
                    <a:xfrm>
                      <a:off x="0" y="0"/>
                      <a:ext cx="6479540" cy="3488690"/>
                    </a:xfrm>
                    <a:prstGeom prst="rect">
                      <a:avLst/>
                    </a:prstGeom>
                  </pic:spPr>
                </pic:pic>
              </a:graphicData>
            </a:graphic>
          </wp:inline>
        </w:drawing>
      </w:r>
    </w:p>
    <w:p w14:paraId="401EFFEC" w14:textId="77777777" w:rsidR="00B96AEF" w:rsidRPr="00264EBD" w:rsidRDefault="00B96AEF" w:rsidP="00264EBD">
      <w:pPr>
        <w:pStyle w:val="Sansinterligne"/>
        <w:jc w:val="both"/>
        <w:rPr>
          <w:rFonts w:ascii="Aptos" w:hAnsi="Aptos"/>
        </w:rPr>
      </w:pPr>
    </w:p>
    <w:p w14:paraId="10B18D09" w14:textId="77777777" w:rsidR="00F82916" w:rsidRPr="00264EBD" w:rsidRDefault="00F82916" w:rsidP="00264EBD">
      <w:pPr>
        <w:pStyle w:val="Sansinterligne"/>
        <w:jc w:val="both"/>
        <w:rPr>
          <w:rFonts w:ascii="Aptos" w:hAnsi="Aptos"/>
        </w:rPr>
      </w:pPr>
    </w:p>
    <w:p w14:paraId="464F6326" w14:textId="7E7621C4" w:rsidR="00B96AEF" w:rsidRPr="005A2FE9" w:rsidRDefault="00F73785" w:rsidP="00264EBD">
      <w:pPr>
        <w:pStyle w:val="Sansinterligne"/>
        <w:jc w:val="both"/>
        <w:rPr>
          <w:rFonts w:ascii="Aptos" w:hAnsi="Aptos"/>
        </w:rPr>
      </w:pPr>
      <w:r w:rsidRPr="005A2FE9">
        <w:rPr>
          <w:rFonts w:ascii="Aptos" w:hAnsi="Aptos"/>
        </w:rPr>
        <w:t>Tunis</w:t>
      </w:r>
      <w:r w:rsidR="00B535EB" w:rsidRPr="005A2FE9">
        <w:rPr>
          <w:rFonts w:ascii="Aptos" w:hAnsi="Aptos"/>
        </w:rPr>
        <w:t xml:space="preserve">, </w:t>
      </w:r>
      <w:r w:rsidRPr="005A2FE9">
        <w:rPr>
          <w:rFonts w:ascii="Aptos" w:hAnsi="Aptos"/>
        </w:rPr>
        <w:t xml:space="preserve">le </w:t>
      </w:r>
      <w:r w:rsidR="00B96AEF" w:rsidRPr="005A2FE9">
        <w:rPr>
          <w:rFonts w:ascii="Aptos" w:hAnsi="Aptos"/>
        </w:rPr>
        <w:t>1</w:t>
      </w:r>
      <w:r w:rsidR="00B96AEF" w:rsidRPr="005A2FE9">
        <w:rPr>
          <w:rFonts w:ascii="Aptos" w:hAnsi="Aptos"/>
          <w:vertAlign w:val="superscript"/>
        </w:rPr>
        <w:t>er</w:t>
      </w:r>
      <w:r w:rsidR="00B96AEF" w:rsidRPr="005A2FE9">
        <w:rPr>
          <w:rFonts w:ascii="Aptos" w:hAnsi="Aptos"/>
        </w:rPr>
        <w:t xml:space="preserve"> juillet 2024</w:t>
      </w:r>
      <w:r w:rsidR="005A2FE9">
        <w:rPr>
          <w:rFonts w:ascii="Aptos" w:hAnsi="Aptos"/>
        </w:rPr>
        <w:t>,</w:t>
      </w:r>
    </w:p>
    <w:p w14:paraId="5C3B103E" w14:textId="77777777" w:rsidR="00B96AEF" w:rsidRDefault="00B96AEF" w:rsidP="00264EBD">
      <w:pPr>
        <w:pStyle w:val="Sansinterligne"/>
        <w:jc w:val="both"/>
        <w:rPr>
          <w:rFonts w:ascii="Aptos" w:hAnsi="Aptos"/>
          <w:b/>
          <w:bCs/>
          <w:sz w:val="24"/>
          <w:szCs w:val="24"/>
        </w:rPr>
      </w:pPr>
    </w:p>
    <w:p w14:paraId="561AB8C2" w14:textId="1E82E668" w:rsidR="00891503" w:rsidRPr="00F761C6" w:rsidRDefault="00891503" w:rsidP="00264EBD">
      <w:pPr>
        <w:pStyle w:val="Sansinterligne"/>
        <w:jc w:val="both"/>
        <w:rPr>
          <w:rFonts w:ascii="Aptos" w:hAnsi="Aptos"/>
          <w:b/>
          <w:bCs/>
          <w:sz w:val="24"/>
          <w:szCs w:val="24"/>
        </w:rPr>
      </w:pPr>
      <w:r w:rsidRPr="00F761C6">
        <w:rPr>
          <w:rFonts w:ascii="Aptos" w:hAnsi="Aptos"/>
          <w:b/>
          <w:bCs/>
          <w:sz w:val="24"/>
          <w:szCs w:val="24"/>
        </w:rPr>
        <w:t xml:space="preserve">COFICERT annonce avoir </w:t>
      </w:r>
      <w:r w:rsidR="00252598">
        <w:rPr>
          <w:rFonts w:ascii="Aptos" w:hAnsi="Aptos"/>
          <w:b/>
          <w:bCs/>
          <w:sz w:val="24"/>
          <w:szCs w:val="24"/>
        </w:rPr>
        <w:t>renouvelé</w:t>
      </w:r>
      <w:r w:rsidR="00504489" w:rsidRPr="00F761C6">
        <w:rPr>
          <w:rFonts w:ascii="Aptos" w:hAnsi="Aptos"/>
          <w:b/>
          <w:bCs/>
          <w:sz w:val="24"/>
          <w:szCs w:val="24"/>
        </w:rPr>
        <w:t xml:space="preserve"> </w:t>
      </w:r>
      <w:r w:rsidRPr="00F761C6">
        <w:rPr>
          <w:rFonts w:ascii="Aptos" w:hAnsi="Aptos"/>
          <w:b/>
          <w:bCs/>
          <w:sz w:val="24"/>
          <w:szCs w:val="24"/>
        </w:rPr>
        <w:t>l</w:t>
      </w:r>
      <w:r w:rsidR="00252598">
        <w:rPr>
          <w:rFonts w:ascii="Aptos" w:hAnsi="Aptos"/>
          <w:b/>
          <w:bCs/>
          <w:sz w:val="24"/>
          <w:szCs w:val="24"/>
        </w:rPr>
        <w:t>a</w:t>
      </w:r>
      <w:r w:rsidRPr="00F761C6">
        <w:rPr>
          <w:rFonts w:ascii="Aptos" w:hAnsi="Aptos"/>
          <w:b/>
          <w:bCs/>
          <w:sz w:val="24"/>
          <w:szCs w:val="24"/>
        </w:rPr>
        <w:t xml:space="preserve"> certificat</w:t>
      </w:r>
      <w:r w:rsidR="00252598">
        <w:rPr>
          <w:rFonts w:ascii="Aptos" w:hAnsi="Aptos"/>
          <w:b/>
          <w:bCs/>
          <w:sz w:val="24"/>
          <w:szCs w:val="24"/>
        </w:rPr>
        <w:t>ion</w:t>
      </w:r>
      <w:r w:rsidRPr="00F761C6">
        <w:rPr>
          <w:rFonts w:ascii="Aptos" w:hAnsi="Aptos"/>
          <w:b/>
          <w:bCs/>
          <w:sz w:val="24"/>
          <w:szCs w:val="24"/>
        </w:rPr>
        <w:t xml:space="preserve"> </w:t>
      </w:r>
      <w:r w:rsidR="00252598">
        <w:rPr>
          <w:rFonts w:ascii="Aptos" w:hAnsi="Aptos"/>
          <w:b/>
          <w:bCs/>
          <w:sz w:val="24"/>
          <w:szCs w:val="24"/>
        </w:rPr>
        <w:t>de l’UIB</w:t>
      </w:r>
      <w:r w:rsidR="001E60E2">
        <w:rPr>
          <w:rFonts w:ascii="Aptos" w:hAnsi="Aptos"/>
          <w:b/>
          <w:bCs/>
          <w:sz w:val="24"/>
          <w:szCs w:val="24"/>
        </w:rPr>
        <w:t xml:space="preserve"> à la Norme </w:t>
      </w:r>
      <w:r w:rsidR="001E60E2" w:rsidRPr="00F761C6">
        <w:rPr>
          <w:rFonts w:ascii="Aptos" w:hAnsi="Aptos"/>
          <w:b/>
          <w:bCs/>
          <w:sz w:val="24"/>
          <w:szCs w:val="24"/>
        </w:rPr>
        <w:t>MSI 20000</w:t>
      </w:r>
      <w:r w:rsidR="001E60E2">
        <w:rPr>
          <w:rFonts w:ascii="Aptos" w:hAnsi="Aptos"/>
          <w:b/>
          <w:bCs/>
          <w:sz w:val="24"/>
          <w:szCs w:val="24"/>
        </w:rPr>
        <w:t>,</w:t>
      </w:r>
      <w:r w:rsidR="00D40C7D" w:rsidRPr="00F761C6">
        <w:rPr>
          <w:rFonts w:ascii="Aptos" w:hAnsi="Aptos"/>
          <w:b/>
          <w:bCs/>
          <w:sz w:val="24"/>
          <w:szCs w:val="24"/>
        </w:rPr>
        <w:t xml:space="preserve"> </w:t>
      </w:r>
      <w:r w:rsidR="001E60E2">
        <w:rPr>
          <w:rFonts w:ascii="Aptos" w:hAnsi="Aptos"/>
          <w:b/>
          <w:bCs/>
          <w:sz w:val="24"/>
          <w:szCs w:val="24"/>
        </w:rPr>
        <w:t>n</w:t>
      </w:r>
      <w:r w:rsidR="008702EE" w:rsidRPr="00F761C6">
        <w:rPr>
          <w:rFonts w:ascii="Aptos" w:hAnsi="Aptos"/>
          <w:b/>
          <w:bCs/>
          <w:sz w:val="24"/>
          <w:szCs w:val="24"/>
        </w:rPr>
        <w:t>orme internationale dédié</w:t>
      </w:r>
      <w:r w:rsidR="00D35552" w:rsidRPr="00F761C6">
        <w:rPr>
          <w:rFonts w:ascii="Aptos" w:hAnsi="Aptos"/>
          <w:b/>
          <w:bCs/>
          <w:sz w:val="24"/>
          <w:szCs w:val="24"/>
        </w:rPr>
        <w:t>e</w:t>
      </w:r>
      <w:r w:rsidR="008702EE" w:rsidRPr="00F761C6">
        <w:rPr>
          <w:rFonts w:ascii="Aptos" w:hAnsi="Aptos"/>
          <w:b/>
          <w:bCs/>
          <w:sz w:val="24"/>
          <w:szCs w:val="24"/>
        </w:rPr>
        <w:t xml:space="preserve"> à la qualité </w:t>
      </w:r>
      <w:r w:rsidR="00637DB1" w:rsidRPr="00F761C6">
        <w:rPr>
          <w:rFonts w:ascii="Aptos" w:hAnsi="Aptos"/>
          <w:b/>
          <w:bCs/>
          <w:sz w:val="24"/>
          <w:szCs w:val="24"/>
        </w:rPr>
        <w:t>de la situation financière des entreprises et des institutions.</w:t>
      </w:r>
    </w:p>
    <w:p w14:paraId="50397D12" w14:textId="77777777" w:rsidR="00891503" w:rsidRPr="00F761C6" w:rsidRDefault="00891503" w:rsidP="00264EBD">
      <w:pPr>
        <w:pStyle w:val="Sansinterligne"/>
        <w:jc w:val="both"/>
        <w:rPr>
          <w:rFonts w:ascii="Aptos" w:hAnsi="Aptos"/>
          <w:sz w:val="24"/>
          <w:szCs w:val="24"/>
        </w:rPr>
      </w:pPr>
    </w:p>
    <w:p w14:paraId="769990EE" w14:textId="1ECDEB1E" w:rsidR="00521BB1" w:rsidRDefault="00521BB1" w:rsidP="00252598">
      <w:pPr>
        <w:pStyle w:val="Sansinterligne"/>
        <w:jc w:val="both"/>
        <w:rPr>
          <w:rFonts w:ascii="Aptos" w:hAnsi="Aptos"/>
          <w:sz w:val="24"/>
          <w:szCs w:val="24"/>
        </w:rPr>
      </w:pPr>
      <w:r w:rsidRPr="00F761C6">
        <w:rPr>
          <w:rFonts w:ascii="Aptos" w:hAnsi="Aptos"/>
          <w:sz w:val="24"/>
          <w:szCs w:val="24"/>
        </w:rPr>
        <w:t xml:space="preserve">Après avoir </w:t>
      </w:r>
      <w:r w:rsidR="00252598">
        <w:rPr>
          <w:rFonts w:ascii="Aptos" w:hAnsi="Aptos"/>
          <w:sz w:val="24"/>
          <w:szCs w:val="24"/>
        </w:rPr>
        <w:t>reçu le premier certificat</w:t>
      </w:r>
      <w:r w:rsidRPr="00F761C6">
        <w:rPr>
          <w:rFonts w:ascii="Aptos" w:hAnsi="Aptos"/>
          <w:sz w:val="24"/>
          <w:szCs w:val="24"/>
        </w:rPr>
        <w:t xml:space="preserve"> </w:t>
      </w:r>
      <w:r w:rsidR="005C3D71">
        <w:rPr>
          <w:rFonts w:ascii="Aptos" w:hAnsi="Aptos"/>
          <w:sz w:val="24"/>
          <w:szCs w:val="24"/>
        </w:rPr>
        <w:t xml:space="preserve">de conformité </w:t>
      </w:r>
      <w:r w:rsidRPr="00F761C6">
        <w:rPr>
          <w:rFonts w:ascii="Aptos" w:hAnsi="Aptos"/>
          <w:sz w:val="24"/>
          <w:szCs w:val="24"/>
        </w:rPr>
        <w:t xml:space="preserve">en </w:t>
      </w:r>
      <w:r w:rsidR="00A35DC0" w:rsidRPr="00A35DC0">
        <w:rPr>
          <w:rFonts w:ascii="Aptos" w:hAnsi="Aptos"/>
          <w:sz w:val="24"/>
          <w:szCs w:val="24"/>
        </w:rPr>
        <w:t>2015</w:t>
      </w:r>
      <w:r w:rsidR="00101C3D" w:rsidRPr="00A35DC0">
        <w:rPr>
          <w:rFonts w:ascii="Aptos" w:hAnsi="Aptos"/>
          <w:sz w:val="24"/>
          <w:szCs w:val="24"/>
        </w:rPr>
        <w:t>,</w:t>
      </w:r>
      <w:r w:rsidR="00A35DC0" w:rsidRPr="00A35DC0">
        <w:rPr>
          <w:rFonts w:ascii="Aptos" w:hAnsi="Aptos"/>
          <w:sz w:val="24"/>
          <w:szCs w:val="24"/>
        </w:rPr>
        <w:t xml:space="preserve"> </w:t>
      </w:r>
      <w:r w:rsidR="00252598">
        <w:rPr>
          <w:rFonts w:ascii="Aptos" w:hAnsi="Aptos"/>
          <w:sz w:val="24"/>
          <w:szCs w:val="24"/>
        </w:rPr>
        <w:t xml:space="preserve">reconduit en </w:t>
      </w:r>
      <w:r w:rsidR="00A35DC0" w:rsidRPr="00A35DC0">
        <w:rPr>
          <w:rFonts w:ascii="Aptos" w:hAnsi="Aptos"/>
          <w:sz w:val="24"/>
          <w:szCs w:val="24"/>
        </w:rPr>
        <w:t xml:space="preserve">2018 </w:t>
      </w:r>
      <w:r w:rsidR="00654D5A">
        <w:rPr>
          <w:rFonts w:ascii="Aptos" w:hAnsi="Aptos"/>
          <w:sz w:val="24"/>
          <w:szCs w:val="24"/>
        </w:rPr>
        <w:t>puis</w:t>
      </w:r>
      <w:r w:rsidRPr="00A35DC0">
        <w:rPr>
          <w:rFonts w:ascii="Aptos" w:hAnsi="Aptos"/>
          <w:sz w:val="24"/>
          <w:szCs w:val="24"/>
        </w:rPr>
        <w:t xml:space="preserve"> en </w:t>
      </w:r>
      <w:r w:rsidR="00A35DC0" w:rsidRPr="00A35DC0">
        <w:rPr>
          <w:rFonts w:ascii="Aptos" w:hAnsi="Aptos"/>
          <w:sz w:val="24"/>
          <w:szCs w:val="24"/>
        </w:rPr>
        <w:t>2021</w:t>
      </w:r>
      <w:r w:rsidR="00A35DC0">
        <w:rPr>
          <w:rFonts w:ascii="Aptos" w:hAnsi="Aptos"/>
          <w:sz w:val="24"/>
          <w:szCs w:val="24"/>
        </w:rPr>
        <w:t>,</w:t>
      </w:r>
      <w:r w:rsidRPr="00F761C6">
        <w:rPr>
          <w:rFonts w:ascii="Aptos" w:hAnsi="Aptos"/>
          <w:sz w:val="24"/>
          <w:szCs w:val="24"/>
        </w:rPr>
        <w:t xml:space="preserve"> </w:t>
      </w:r>
      <w:r w:rsidR="005C3D71">
        <w:rPr>
          <w:rFonts w:ascii="Aptos" w:hAnsi="Aptos"/>
          <w:sz w:val="24"/>
          <w:szCs w:val="24"/>
        </w:rPr>
        <w:t>soit tou</w:t>
      </w:r>
      <w:r w:rsidR="001E60E2">
        <w:rPr>
          <w:rFonts w:ascii="Aptos" w:hAnsi="Aptos"/>
          <w:sz w:val="24"/>
          <w:szCs w:val="24"/>
        </w:rPr>
        <w:t>s</w:t>
      </w:r>
      <w:r w:rsidR="005C3D71">
        <w:rPr>
          <w:rFonts w:ascii="Aptos" w:hAnsi="Aptos"/>
          <w:sz w:val="24"/>
          <w:szCs w:val="24"/>
        </w:rPr>
        <w:t xml:space="preserve"> les 3 ans conformément à la réglementation internationale des certifications système de management</w:t>
      </w:r>
      <w:r w:rsidR="001E60E2">
        <w:rPr>
          <w:rFonts w:ascii="Aptos" w:hAnsi="Aptos"/>
          <w:sz w:val="24"/>
          <w:szCs w:val="24"/>
        </w:rPr>
        <w:t> ;</w:t>
      </w:r>
      <w:r w:rsidR="005C3D71">
        <w:rPr>
          <w:rFonts w:ascii="Aptos" w:hAnsi="Aptos"/>
          <w:sz w:val="24"/>
          <w:szCs w:val="24"/>
        </w:rPr>
        <w:t xml:space="preserve"> </w:t>
      </w:r>
      <w:r w:rsidR="00654D5A">
        <w:rPr>
          <w:rFonts w:ascii="Aptos" w:hAnsi="Aptos"/>
          <w:sz w:val="24"/>
          <w:szCs w:val="24"/>
        </w:rPr>
        <w:t xml:space="preserve">l’organisme de certification français </w:t>
      </w:r>
      <w:r w:rsidRPr="00F761C6">
        <w:rPr>
          <w:rFonts w:ascii="Aptos" w:hAnsi="Aptos"/>
          <w:sz w:val="24"/>
          <w:szCs w:val="24"/>
        </w:rPr>
        <w:t xml:space="preserve">COFICERT renouvelle, pour le quatrième cycle consécutif, la certification de </w:t>
      </w:r>
      <w:r w:rsidR="00504489" w:rsidRPr="00F761C6">
        <w:rPr>
          <w:rFonts w:ascii="Aptos" w:hAnsi="Aptos"/>
          <w:sz w:val="24"/>
          <w:szCs w:val="24"/>
        </w:rPr>
        <w:t>l’UIB</w:t>
      </w:r>
      <w:r w:rsidRPr="00F761C6">
        <w:rPr>
          <w:rFonts w:ascii="Aptos" w:hAnsi="Aptos"/>
          <w:sz w:val="24"/>
          <w:szCs w:val="24"/>
        </w:rPr>
        <w:t xml:space="preserve"> à la norme MSI 20000</w:t>
      </w:r>
      <w:r w:rsidR="00654D5A">
        <w:rPr>
          <w:rFonts w:ascii="Aptos" w:hAnsi="Aptos"/>
          <w:sz w:val="24"/>
          <w:szCs w:val="24"/>
        </w:rPr>
        <w:t>. Ce renouvellement fait</w:t>
      </w:r>
      <w:r w:rsidR="00252598">
        <w:rPr>
          <w:rFonts w:ascii="Aptos" w:hAnsi="Aptos"/>
          <w:sz w:val="24"/>
          <w:szCs w:val="24"/>
        </w:rPr>
        <w:t xml:space="preserve"> </w:t>
      </w:r>
      <w:r w:rsidR="00252598" w:rsidRPr="00835691">
        <w:rPr>
          <w:rFonts w:ascii="Aptos" w:hAnsi="Aptos"/>
          <w:sz w:val="24"/>
          <w:szCs w:val="24"/>
        </w:rPr>
        <w:t>suite à une évaluation</w:t>
      </w:r>
      <w:r w:rsidR="005C3D71">
        <w:rPr>
          <w:rFonts w:ascii="Aptos" w:hAnsi="Aptos"/>
          <w:sz w:val="24"/>
          <w:szCs w:val="24"/>
        </w:rPr>
        <w:t xml:space="preserve"> financière</w:t>
      </w:r>
      <w:r w:rsidR="00654D5A">
        <w:rPr>
          <w:rFonts w:ascii="Aptos" w:hAnsi="Aptos"/>
          <w:sz w:val="24"/>
          <w:szCs w:val="24"/>
        </w:rPr>
        <w:t>,</w:t>
      </w:r>
      <w:r w:rsidR="00252598" w:rsidRPr="00835691">
        <w:rPr>
          <w:rFonts w:ascii="Aptos" w:hAnsi="Aptos"/>
          <w:sz w:val="24"/>
          <w:szCs w:val="24"/>
        </w:rPr>
        <w:t xml:space="preserve"> réalisée sur l</w:t>
      </w:r>
      <w:r w:rsidR="00252598">
        <w:rPr>
          <w:rFonts w:ascii="Aptos" w:hAnsi="Aptos"/>
          <w:sz w:val="24"/>
          <w:szCs w:val="24"/>
        </w:rPr>
        <w:t>a base des</w:t>
      </w:r>
      <w:r w:rsidR="00252598" w:rsidRPr="00835691">
        <w:rPr>
          <w:rFonts w:ascii="Aptos" w:hAnsi="Aptos"/>
          <w:sz w:val="24"/>
          <w:szCs w:val="24"/>
        </w:rPr>
        <w:t xml:space="preserve"> derniers exercices comptables</w:t>
      </w:r>
      <w:r w:rsidR="00654D5A">
        <w:rPr>
          <w:rFonts w:ascii="Aptos" w:hAnsi="Aptos"/>
          <w:sz w:val="24"/>
          <w:szCs w:val="24"/>
        </w:rPr>
        <w:t>,</w:t>
      </w:r>
      <w:r w:rsidR="00252598">
        <w:rPr>
          <w:rFonts w:ascii="Aptos" w:hAnsi="Aptos"/>
          <w:sz w:val="24"/>
          <w:szCs w:val="24"/>
        </w:rPr>
        <w:t xml:space="preserve"> attestant de la conformité de la banque aux exigences de la norme.</w:t>
      </w:r>
    </w:p>
    <w:p w14:paraId="1200066B" w14:textId="77777777" w:rsidR="00B2073D" w:rsidRDefault="00B2073D" w:rsidP="00264EBD">
      <w:pPr>
        <w:pStyle w:val="Sansinterligne"/>
        <w:jc w:val="both"/>
        <w:rPr>
          <w:rFonts w:ascii="Aptos" w:hAnsi="Aptos"/>
          <w:b/>
          <w:bCs/>
          <w:sz w:val="24"/>
          <w:szCs w:val="24"/>
        </w:rPr>
      </w:pPr>
    </w:p>
    <w:p w14:paraId="0176D20A" w14:textId="25E827C5" w:rsidR="00654D5A" w:rsidRDefault="00654D5A" w:rsidP="00654D5A">
      <w:pPr>
        <w:pStyle w:val="Sansinterligne"/>
        <w:jc w:val="both"/>
        <w:rPr>
          <w:rFonts w:ascii="Aptos" w:hAnsi="Aptos"/>
          <w:sz w:val="24"/>
          <w:szCs w:val="24"/>
        </w:rPr>
      </w:pPr>
      <w:r>
        <w:rPr>
          <w:rFonts w:ascii="Aptos" w:hAnsi="Aptos"/>
          <w:sz w:val="24"/>
          <w:szCs w:val="24"/>
        </w:rPr>
        <w:t xml:space="preserve">A cette occasion, </w:t>
      </w:r>
      <w:r w:rsidRPr="00817037">
        <w:rPr>
          <w:rFonts w:ascii="Aptos" w:hAnsi="Aptos"/>
          <w:sz w:val="24"/>
          <w:szCs w:val="24"/>
        </w:rPr>
        <w:t>M</w:t>
      </w:r>
      <w:r>
        <w:rPr>
          <w:rFonts w:ascii="Aptos" w:hAnsi="Aptos"/>
          <w:sz w:val="24"/>
          <w:szCs w:val="24"/>
        </w:rPr>
        <w:t xml:space="preserve">onsieur </w:t>
      </w:r>
      <w:r w:rsidRPr="00252598">
        <w:rPr>
          <w:rFonts w:ascii="Aptos" w:hAnsi="Aptos"/>
          <w:sz w:val="24"/>
          <w:szCs w:val="24"/>
        </w:rPr>
        <w:t xml:space="preserve">Raoul </w:t>
      </w:r>
      <w:proofErr w:type="spellStart"/>
      <w:r w:rsidRPr="00252598">
        <w:rPr>
          <w:rFonts w:ascii="Aptos" w:hAnsi="Aptos"/>
          <w:sz w:val="24"/>
          <w:szCs w:val="24"/>
        </w:rPr>
        <w:t>Labbé</w:t>
      </w:r>
      <w:proofErr w:type="spellEnd"/>
      <w:r w:rsidRPr="00252598">
        <w:rPr>
          <w:rFonts w:ascii="Aptos" w:hAnsi="Aptos"/>
          <w:sz w:val="24"/>
          <w:szCs w:val="24"/>
        </w:rPr>
        <w:t xml:space="preserve"> de la </w:t>
      </w:r>
      <w:proofErr w:type="spellStart"/>
      <w:r w:rsidRPr="00252598">
        <w:rPr>
          <w:rFonts w:ascii="Aptos" w:hAnsi="Aptos"/>
          <w:sz w:val="24"/>
          <w:szCs w:val="24"/>
        </w:rPr>
        <w:t>Genardière</w:t>
      </w:r>
      <w:proofErr w:type="spellEnd"/>
      <w:r w:rsidRPr="00817037">
        <w:rPr>
          <w:rFonts w:ascii="Aptos" w:hAnsi="Aptos"/>
          <w:sz w:val="24"/>
          <w:szCs w:val="24"/>
        </w:rPr>
        <w:t xml:space="preserve">, </w:t>
      </w:r>
      <w:r>
        <w:rPr>
          <w:rFonts w:ascii="Aptos" w:hAnsi="Aptos"/>
          <w:sz w:val="24"/>
          <w:szCs w:val="24"/>
        </w:rPr>
        <w:t>Directeur Général de l’UIB</w:t>
      </w:r>
      <w:r w:rsidRPr="00817037">
        <w:rPr>
          <w:rFonts w:ascii="Aptos" w:hAnsi="Aptos"/>
          <w:sz w:val="24"/>
          <w:szCs w:val="24"/>
        </w:rPr>
        <w:t xml:space="preserve">, </w:t>
      </w:r>
      <w:r>
        <w:rPr>
          <w:rFonts w:ascii="Aptos" w:hAnsi="Aptos"/>
          <w:sz w:val="24"/>
          <w:szCs w:val="24"/>
        </w:rPr>
        <w:t>s’est vu remettre</w:t>
      </w:r>
      <w:r w:rsidRPr="00817037">
        <w:rPr>
          <w:rFonts w:ascii="Aptos" w:hAnsi="Aptos"/>
          <w:sz w:val="24"/>
          <w:szCs w:val="24"/>
        </w:rPr>
        <w:t xml:space="preserve"> ledit certificat</w:t>
      </w:r>
      <w:r>
        <w:rPr>
          <w:rFonts w:ascii="Aptos" w:hAnsi="Aptos"/>
          <w:sz w:val="24"/>
          <w:szCs w:val="24"/>
        </w:rPr>
        <w:t xml:space="preserve"> </w:t>
      </w:r>
      <w:r w:rsidRPr="00817037">
        <w:rPr>
          <w:rFonts w:ascii="Aptos" w:hAnsi="Aptos"/>
          <w:sz w:val="24"/>
          <w:szCs w:val="24"/>
        </w:rPr>
        <w:t>par</w:t>
      </w:r>
      <w:r>
        <w:rPr>
          <w:rFonts w:ascii="Aptos" w:hAnsi="Aptos"/>
          <w:sz w:val="24"/>
          <w:szCs w:val="24"/>
        </w:rPr>
        <w:t xml:space="preserve"> une délégation de </w:t>
      </w:r>
      <w:r w:rsidRPr="00817037">
        <w:rPr>
          <w:rFonts w:ascii="Aptos" w:hAnsi="Aptos"/>
          <w:sz w:val="24"/>
          <w:szCs w:val="24"/>
        </w:rPr>
        <w:t>représentants de COFICERT</w:t>
      </w:r>
      <w:r>
        <w:rPr>
          <w:rFonts w:ascii="Aptos" w:hAnsi="Aptos"/>
          <w:sz w:val="24"/>
          <w:szCs w:val="24"/>
        </w:rPr>
        <w:t xml:space="preserve"> France</w:t>
      </w:r>
      <w:r w:rsidRPr="007C1EC4">
        <w:rPr>
          <w:rFonts w:ascii="Aptos" w:hAnsi="Aptos"/>
          <w:sz w:val="24"/>
          <w:szCs w:val="24"/>
        </w:rPr>
        <w:t xml:space="preserve"> conduite par Messieurs Souheil Skander et Cristian Mocanu. </w:t>
      </w:r>
    </w:p>
    <w:p w14:paraId="1F9ACE6C" w14:textId="77777777" w:rsidR="00252598" w:rsidRDefault="00252598" w:rsidP="00264EBD">
      <w:pPr>
        <w:pStyle w:val="Sansinterligne"/>
        <w:jc w:val="both"/>
        <w:rPr>
          <w:rFonts w:ascii="Aptos" w:hAnsi="Aptos"/>
          <w:b/>
          <w:bCs/>
          <w:sz w:val="24"/>
          <w:szCs w:val="24"/>
        </w:rPr>
      </w:pPr>
    </w:p>
    <w:p w14:paraId="210A7B09" w14:textId="56125A45" w:rsidR="00654D5A" w:rsidRPr="00D77410" w:rsidRDefault="007070E3" w:rsidP="00654D5A">
      <w:pPr>
        <w:pStyle w:val="Sansinterligne"/>
        <w:jc w:val="both"/>
        <w:rPr>
          <w:rFonts w:ascii="Aptos" w:hAnsi="Aptos"/>
          <w:sz w:val="24"/>
          <w:szCs w:val="24"/>
        </w:rPr>
      </w:pPr>
      <w:r>
        <w:rPr>
          <w:rFonts w:ascii="Aptos" w:hAnsi="Aptos"/>
          <w:sz w:val="24"/>
          <w:szCs w:val="24"/>
        </w:rPr>
        <w:t>Diffusée et régulée par l’IGSF, l</w:t>
      </w:r>
      <w:r w:rsidR="00654D5A">
        <w:rPr>
          <w:rFonts w:ascii="Aptos" w:hAnsi="Aptos"/>
          <w:sz w:val="24"/>
          <w:szCs w:val="24"/>
        </w:rPr>
        <w:t>a norme</w:t>
      </w:r>
      <w:r w:rsidR="00654D5A" w:rsidRPr="00F761C6">
        <w:rPr>
          <w:rFonts w:ascii="Aptos" w:hAnsi="Aptos"/>
          <w:sz w:val="24"/>
          <w:szCs w:val="24"/>
        </w:rPr>
        <w:t xml:space="preserve"> MSI 20000 renseigne sur la qualité de la situation financière des entreprises et des institutions. L’approche d’évaluation repose sur deux axes</w:t>
      </w:r>
      <w:r w:rsidR="00654D5A">
        <w:rPr>
          <w:rFonts w:ascii="Aptos" w:hAnsi="Aptos"/>
          <w:sz w:val="24"/>
          <w:szCs w:val="24"/>
        </w:rPr>
        <w:t xml:space="preserve">, </w:t>
      </w:r>
      <w:r w:rsidR="00654D5A" w:rsidRPr="00F761C6">
        <w:rPr>
          <w:rFonts w:ascii="Aptos" w:hAnsi="Aptos"/>
          <w:sz w:val="24"/>
          <w:szCs w:val="24"/>
        </w:rPr>
        <w:t xml:space="preserve">la </w:t>
      </w:r>
      <w:r w:rsidR="00654D5A">
        <w:rPr>
          <w:rFonts w:ascii="Aptos" w:hAnsi="Aptos"/>
          <w:sz w:val="24"/>
          <w:szCs w:val="24"/>
        </w:rPr>
        <w:t xml:space="preserve">mesure de la </w:t>
      </w:r>
      <w:r w:rsidR="00654D5A" w:rsidRPr="00F761C6">
        <w:rPr>
          <w:rFonts w:ascii="Aptos" w:hAnsi="Aptos"/>
          <w:sz w:val="24"/>
          <w:szCs w:val="24"/>
        </w:rPr>
        <w:t xml:space="preserve">solidité </w:t>
      </w:r>
      <w:r w:rsidR="00654D5A">
        <w:rPr>
          <w:rFonts w:ascii="Aptos" w:hAnsi="Aptos"/>
          <w:sz w:val="24"/>
          <w:szCs w:val="24"/>
        </w:rPr>
        <w:t xml:space="preserve">financière d’une part </w:t>
      </w:r>
      <w:r w:rsidR="00654D5A" w:rsidRPr="00F761C6">
        <w:rPr>
          <w:rFonts w:ascii="Aptos" w:hAnsi="Aptos"/>
          <w:sz w:val="24"/>
          <w:szCs w:val="24"/>
        </w:rPr>
        <w:t xml:space="preserve">et </w:t>
      </w:r>
      <w:r w:rsidR="00654D5A">
        <w:rPr>
          <w:rFonts w:ascii="Aptos" w:hAnsi="Aptos"/>
          <w:sz w:val="24"/>
          <w:szCs w:val="24"/>
        </w:rPr>
        <w:t xml:space="preserve">celle de </w:t>
      </w:r>
      <w:r w:rsidR="00654D5A" w:rsidRPr="00F761C6">
        <w:rPr>
          <w:rFonts w:ascii="Aptos" w:hAnsi="Aptos"/>
          <w:sz w:val="24"/>
          <w:szCs w:val="24"/>
        </w:rPr>
        <w:t xml:space="preserve">la performance </w:t>
      </w:r>
      <w:r w:rsidR="005C3D71">
        <w:rPr>
          <w:rFonts w:ascii="Aptos" w:hAnsi="Aptos"/>
          <w:sz w:val="24"/>
          <w:szCs w:val="24"/>
        </w:rPr>
        <w:t xml:space="preserve">financière </w:t>
      </w:r>
      <w:r w:rsidR="00654D5A">
        <w:rPr>
          <w:rFonts w:ascii="Aptos" w:hAnsi="Aptos"/>
          <w:sz w:val="24"/>
          <w:szCs w:val="24"/>
        </w:rPr>
        <w:t xml:space="preserve">d’autre part. </w:t>
      </w:r>
      <w:r w:rsidR="00654D5A" w:rsidRPr="00F761C6">
        <w:rPr>
          <w:rFonts w:ascii="Aptos" w:hAnsi="Aptos"/>
          <w:sz w:val="24"/>
          <w:szCs w:val="24"/>
        </w:rPr>
        <w:t>L</w:t>
      </w:r>
      <w:r>
        <w:rPr>
          <w:rFonts w:ascii="Aptos" w:hAnsi="Aptos"/>
          <w:sz w:val="24"/>
          <w:szCs w:val="24"/>
        </w:rPr>
        <w:t>e</w:t>
      </w:r>
      <w:r w:rsidR="00654D5A" w:rsidRPr="00F761C6">
        <w:rPr>
          <w:rFonts w:ascii="Aptos" w:hAnsi="Aptos"/>
          <w:sz w:val="24"/>
          <w:szCs w:val="24"/>
        </w:rPr>
        <w:t xml:space="preserve"> certificat MSI </w:t>
      </w:r>
      <w:r w:rsidR="00654D5A" w:rsidRPr="00F761C6">
        <w:rPr>
          <w:rFonts w:ascii="Aptos" w:hAnsi="Aptos"/>
          <w:sz w:val="24"/>
          <w:szCs w:val="24"/>
        </w:rPr>
        <w:lastRenderedPageBreak/>
        <w:t>20000 se présente comme un indicateur de référence pour les opérateurs économiq</w:t>
      </w:r>
      <w:r>
        <w:rPr>
          <w:rFonts w:ascii="Aptos" w:hAnsi="Aptos"/>
          <w:sz w:val="24"/>
          <w:szCs w:val="24"/>
        </w:rPr>
        <w:t>u</w:t>
      </w:r>
      <w:r w:rsidR="00654D5A" w:rsidRPr="00F761C6">
        <w:rPr>
          <w:rFonts w:ascii="Aptos" w:hAnsi="Aptos"/>
          <w:sz w:val="24"/>
          <w:szCs w:val="24"/>
        </w:rPr>
        <w:t xml:space="preserve">es et financiers en quête de repères fiables et </w:t>
      </w:r>
      <w:r w:rsidR="00654D5A">
        <w:rPr>
          <w:rFonts w:ascii="Aptos" w:hAnsi="Aptos"/>
          <w:sz w:val="24"/>
          <w:szCs w:val="24"/>
        </w:rPr>
        <w:t>indépendants</w:t>
      </w:r>
      <w:r w:rsidR="00654D5A" w:rsidRPr="00F761C6">
        <w:rPr>
          <w:rFonts w:ascii="Aptos" w:hAnsi="Aptos"/>
          <w:sz w:val="24"/>
          <w:szCs w:val="24"/>
        </w:rPr>
        <w:t xml:space="preserve"> en matière de </w:t>
      </w:r>
      <w:r w:rsidR="00654D5A">
        <w:rPr>
          <w:rFonts w:ascii="Aptos" w:hAnsi="Aptos"/>
          <w:sz w:val="24"/>
          <w:szCs w:val="24"/>
        </w:rPr>
        <w:t xml:space="preserve">solvabilité, de rentabilité et de pérennité. </w:t>
      </w:r>
    </w:p>
    <w:p w14:paraId="0164A475" w14:textId="77777777" w:rsidR="00820D25" w:rsidRPr="00F761C6" w:rsidRDefault="00820D25" w:rsidP="00264EBD">
      <w:pPr>
        <w:pStyle w:val="Sansinterligne"/>
        <w:jc w:val="both"/>
        <w:rPr>
          <w:rFonts w:ascii="Aptos" w:hAnsi="Aptos"/>
          <w:b/>
          <w:bCs/>
          <w:sz w:val="24"/>
          <w:szCs w:val="24"/>
        </w:rPr>
      </w:pPr>
    </w:p>
    <w:p w14:paraId="341C9571" w14:textId="23205A58" w:rsidR="00820D25" w:rsidRDefault="00654D5A" w:rsidP="00264EBD">
      <w:pPr>
        <w:pStyle w:val="Sansinterligne"/>
        <w:jc w:val="both"/>
        <w:rPr>
          <w:rFonts w:ascii="Aptos" w:hAnsi="Aptos"/>
          <w:sz w:val="24"/>
          <w:szCs w:val="24"/>
        </w:rPr>
      </w:pPr>
      <w:r>
        <w:rPr>
          <w:rFonts w:ascii="Aptos" w:hAnsi="Aptos"/>
          <w:sz w:val="24"/>
          <w:szCs w:val="24"/>
        </w:rPr>
        <w:t xml:space="preserve">Dans un contexte en perpétuelle évolution, la certification à la norme MSI 20000 de l’UIB </w:t>
      </w:r>
      <w:r w:rsidR="00D95E70">
        <w:rPr>
          <w:rFonts w:ascii="Aptos" w:hAnsi="Aptos"/>
          <w:sz w:val="24"/>
          <w:szCs w:val="24"/>
        </w:rPr>
        <w:t xml:space="preserve">contribue à </w:t>
      </w:r>
      <w:r w:rsidR="005C3D71">
        <w:rPr>
          <w:rFonts w:ascii="Aptos" w:hAnsi="Aptos"/>
          <w:sz w:val="24"/>
          <w:szCs w:val="24"/>
        </w:rPr>
        <w:t xml:space="preserve">consolider et </w:t>
      </w:r>
      <w:r w:rsidR="00D95E70">
        <w:rPr>
          <w:rFonts w:ascii="Aptos" w:hAnsi="Aptos"/>
          <w:sz w:val="24"/>
          <w:szCs w:val="24"/>
        </w:rPr>
        <w:t xml:space="preserve">renforcer </w:t>
      </w:r>
      <w:r w:rsidR="005C3D71">
        <w:rPr>
          <w:rFonts w:ascii="Aptos" w:hAnsi="Aptos"/>
          <w:sz w:val="24"/>
          <w:szCs w:val="24"/>
        </w:rPr>
        <w:t xml:space="preserve">le </w:t>
      </w:r>
      <w:r w:rsidR="00D95E70">
        <w:rPr>
          <w:rFonts w:ascii="Aptos" w:hAnsi="Aptos"/>
          <w:sz w:val="24"/>
          <w:szCs w:val="24"/>
        </w:rPr>
        <w:t>positionnement</w:t>
      </w:r>
      <w:r w:rsidR="005C3D71">
        <w:rPr>
          <w:rFonts w:ascii="Aptos" w:hAnsi="Aptos"/>
          <w:sz w:val="24"/>
          <w:szCs w:val="24"/>
        </w:rPr>
        <w:t xml:space="preserve"> de la banque</w:t>
      </w:r>
      <w:r w:rsidR="00D95E70">
        <w:rPr>
          <w:rFonts w:ascii="Aptos" w:hAnsi="Aptos"/>
          <w:sz w:val="24"/>
          <w:szCs w:val="24"/>
        </w:rPr>
        <w:t xml:space="preserve"> dans </w:t>
      </w:r>
      <w:r w:rsidR="005C3D71">
        <w:rPr>
          <w:rFonts w:ascii="Aptos" w:hAnsi="Aptos"/>
          <w:sz w:val="24"/>
          <w:szCs w:val="24"/>
        </w:rPr>
        <w:t xml:space="preserve">son </w:t>
      </w:r>
      <w:r w:rsidR="00D95E70">
        <w:rPr>
          <w:rFonts w:ascii="Aptos" w:hAnsi="Aptos"/>
          <w:sz w:val="24"/>
          <w:szCs w:val="24"/>
        </w:rPr>
        <w:t>paysage financier</w:t>
      </w:r>
      <w:r w:rsidR="005C3D71">
        <w:rPr>
          <w:rFonts w:ascii="Aptos" w:hAnsi="Aptos"/>
          <w:sz w:val="24"/>
          <w:szCs w:val="24"/>
        </w:rPr>
        <w:t xml:space="preserve"> à l’échelle locale et régionale</w:t>
      </w:r>
      <w:r w:rsidR="005D1BE1">
        <w:rPr>
          <w:rFonts w:ascii="Aptos" w:hAnsi="Aptos"/>
          <w:sz w:val="24"/>
          <w:szCs w:val="24"/>
        </w:rPr>
        <w:t xml:space="preserve">. </w:t>
      </w:r>
      <w:r w:rsidR="005C3D71">
        <w:rPr>
          <w:rFonts w:ascii="Aptos" w:hAnsi="Aptos"/>
          <w:sz w:val="24"/>
          <w:szCs w:val="24"/>
        </w:rPr>
        <w:t xml:space="preserve">L’accès à la certification, son ancrage dans le temps et l’amélioration continue du </w:t>
      </w:r>
      <w:r w:rsidR="00664A1D">
        <w:rPr>
          <w:rFonts w:ascii="Aptos" w:hAnsi="Aptos"/>
          <w:sz w:val="24"/>
          <w:szCs w:val="24"/>
        </w:rPr>
        <w:t>niveau</w:t>
      </w:r>
      <w:r w:rsidR="005C3D71">
        <w:rPr>
          <w:rFonts w:ascii="Aptos" w:hAnsi="Aptos"/>
          <w:sz w:val="24"/>
          <w:szCs w:val="24"/>
        </w:rPr>
        <w:t xml:space="preserve"> de conformité de l’UIB, </w:t>
      </w:r>
      <w:r w:rsidR="005D1BE1">
        <w:rPr>
          <w:rFonts w:ascii="Aptos" w:hAnsi="Aptos"/>
          <w:sz w:val="24"/>
          <w:szCs w:val="24"/>
        </w:rPr>
        <w:t xml:space="preserve">constitue </w:t>
      </w:r>
      <w:r w:rsidR="005D1BE1" w:rsidRPr="00D3379E">
        <w:rPr>
          <w:rFonts w:ascii="Aptos" w:hAnsi="Aptos"/>
          <w:sz w:val="24"/>
          <w:szCs w:val="24"/>
        </w:rPr>
        <w:t xml:space="preserve">un gage </w:t>
      </w:r>
      <w:r w:rsidR="005D1BE1">
        <w:rPr>
          <w:rFonts w:ascii="Aptos" w:hAnsi="Aptos"/>
          <w:sz w:val="24"/>
          <w:szCs w:val="24"/>
        </w:rPr>
        <w:t>supplémentaire de confiance</w:t>
      </w:r>
      <w:r w:rsidR="005D1BE1" w:rsidRPr="00F761C6">
        <w:rPr>
          <w:rFonts w:ascii="Aptos" w:hAnsi="Aptos"/>
          <w:sz w:val="24"/>
          <w:szCs w:val="24"/>
        </w:rPr>
        <w:t xml:space="preserve"> </w:t>
      </w:r>
      <w:r w:rsidR="005D1BE1">
        <w:rPr>
          <w:rFonts w:ascii="Aptos" w:hAnsi="Aptos"/>
          <w:sz w:val="24"/>
          <w:szCs w:val="24"/>
        </w:rPr>
        <w:t>pour ses</w:t>
      </w:r>
      <w:r w:rsidR="005D1BE1" w:rsidRPr="00F761C6">
        <w:rPr>
          <w:rFonts w:ascii="Aptos" w:hAnsi="Aptos"/>
          <w:sz w:val="24"/>
          <w:szCs w:val="24"/>
        </w:rPr>
        <w:t xml:space="preserve"> </w:t>
      </w:r>
      <w:r w:rsidR="005C3D71">
        <w:rPr>
          <w:rFonts w:ascii="Aptos" w:hAnsi="Aptos"/>
          <w:sz w:val="24"/>
          <w:szCs w:val="24"/>
        </w:rPr>
        <w:t xml:space="preserve">clients et </w:t>
      </w:r>
      <w:r w:rsidR="005D1BE1" w:rsidRPr="00F761C6">
        <w:rPr>
          <w:rFonts w:ascii="Aptos" w:hAnsi="Aptos"/>
          <w:sz w:val="24"/>
          <w:szCs w:val="24"/>
        </w:rPr>
        <w:t>partenaires</w:t>
      </w:r>
      <w:r w:rsidR="005D1BE1">
        <w:rPr>
          <w:rFonts w:ascii="Aptos" w:hAnsi="Aptos"/>
          <w:sz w:val="24"/>
          <w:szCs w:val="24"/>
        </w:rPr>
        <w:t>, en</w:t>
      </w:r>
      <w:r w:rsidR="00D95E70">
        <w:rPr>
          <w:rFonts w:ascii="Aptos" w:hAnsi="Aptos"/>
          <w:sz w:val="24"/>
          <w:szCs w:val="24"/>
        </w:rPr>
        <w:t xml:space="preserve"> </w:t>
      </w:r>
      <w:r w:rsidR="005D1BE1">
        <w:rPr>
          <w:rFonts w:ascii="Aptos" w:hAnsi="Aptos"/>
          <w:sz w:val="24"/>
          <w:szCs w:val="24"/>
        </w:rPr>
        <w:t>ligne avec</w:t>
      </w:r>
      <w:r w:rsidR="00D95E70">
        <w:rPr>
          <w:rFonts w:ascii="Aptos" w:hAnsi="Aptos"/>
          <w:sz w:val="24"/>
          <w:szCs w:val="24"/>
        </w:rPr>
        <w:t xml:space="preserve"> </w:t>
      </w:r>
      <w:r w:rsidR="005D1BE1">
        <w:rPr>
          <w:rFonts w:ascii="Aptos" w:hAnsi="Aptos"/>
          <w:sz w:val="24"/>
          <w:szCs w:val="24"/>
        </w:rPr>
        <w:t>les</w:t>
      </w:r>
      <w:r w:rsidR="00D95E70">
        <w:rPr>
          <w:rFonts w:ascii="Aptos" w:hAnsi="Aptos"/>
          <w:sz w:val="24"/>
          <w:szCs w:val="24"/>
        </w:rPr>
        <w:t xml:space="preserve"> exigences du groupe Société Générale en matière de bonne</w:t>
      </w:r>
      <w:r w:rsidR="005C3D71">
        <w:rPr>
          <w:rFonts w:ascii="Aptos" w:hAnsi="Aptos"/>
          <w:sz w:val="24"/>
          <w:szCs w:val="24"/>
        </w:rPr>
        <w:t>s</w:t>
      </w:r>
      <w:r w:rsidR="00D95E70">
        <w:rPr>
          <w:rFonts w:ascii="Aptos" w:hAnsi="Aptos"/>
          <w:sz w:val="24"/>
          <w:szCs w:val="24"/>
        </w:rPr>
        <w:t xml:space="preserve"> </w:t>
      </w:r>
      <w:r w:rsidR="005C3D71">
        <w:rPr>
          <w:rFonts w:ascii="Aptos" w:hAnsi="Aptos"/>
          <w:sz w:val="24"/>
          <w:szCs w:val="24"/>
        </w:rPr>
        <w:t xml:space="preserve">pratiques et de </w:t>
      </w:r>
      <w:r w:rsidR="00D95E70">
        <w:rPr>
          <w:rFonts w:ascii="Aptos" w:hAnsi="Aptos"/>
          <w:sz w:val="24"/>
          <w:szCs w:val="24"/>
        </w:rPr>
        <w:t>gouvernance financière.</w:t>
      </w:r>
    </w:p>
    <w:p w14:paraId="5AE0A478" w14:textId="77777777" w:rsidR="00050693" w:rsidRDefault="00050693" w:rsidP="00264EBD">
      <w:pPr>
        <w:pStyle w:val="Sansinterligne"/>
        <w:jc w:val="both"/>
        <w:rPr>
          <w:rFonts w:ascii="Aptos" w:hAnsi="Aptos"/>
          <w:sz w:val="24"/>
          <w:szCs w:val="24"/>
        </w:rPr>
      </w:pPr>
    </w:p>
    <w:p w14:paraId="4556BFA4" w14:textId="6FB91329" w:rsidR="00B027A5" w:rsidRPr="003E6146" w:rsidRDefault="00B027A5" w:rsidP="00264EBD">
      <w:pPr>
        <w:pStyle w:val="Sansinterligne"/>
        <w:jc w:val="both"/>
        <w:rPr>
          <w:rFonts w:ascii="Aptos" w:hAnsi="Aptos"/>
          <w:b/>
          <w:bCs/>
        </w:rPr>
      </w:pPr>
      <w:r w:rsidRPr="003E6146">
        <w:rPr>
          <w:rFonts w:ascii="Aptos" w:hAnsi="Aptos"/>
          <w:b/>
          <w:bCs/>
        </w:rPr>
        <w:t>À propos de</w:t>
      </w:r>
      <w:r w:rsidR="00B55E77">
        <w:rPr>
          <w:rFonts w:ascii="Aptos" w:hAnsi="Aptos"/>
          <w:b/>
          <w:bCs/>
        </w:rPr>
        <w:t> :</w:t>
      </w:r>
    </w:p>
    <w:p w14:paraId="6CF9A72A" w14:textId="77777777" w:rsidR="00400477" w:rsidRDefault="00400477" w:rsidP="00264EBD">
      <w:pPr>
        <w:pStyle w:val="Sansinterligne"/>
        <w:jc w:val="both"/>
        <w:rPr>
          <w:rFonts w:ascii="Aptos" w:hAnsi="Aptos"/>
          <w:b/>
          <w:bCs/>
          <w:i/>
          <w:iC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647"/>
      </w:tblGrid>
      <w:tr w:rsidR="00820D25" w14:paraId="0E45F6D1" w14:textId="77777777" w:rsidTr="001F7EB4">
        <w:tc>
          <w:tcPr>
            <w:tcW w:w="2547" w:type="dxa"/>
            <w:vAlign w:val="center"/>
          </w:tcPr>
          <w:p w14:paraId="6DA51D1A" w14:textId="633A8D61" w:rsidR="00820D25" w:rsidRPr="006A7BDE" w:rsidRDefault="00D760A8" w:rsidP="001F7EB4">
            <w:pPr>
              <w:pStyle w:val="Sansinterligne"/>
              <w:jc w:val="both"/>
              <w:rPr>
                <w:rFonts w:ascii="Aptos" w:hAnsi="Aptos"/>
                <w:b/>
                <w:bCs/>
                <w:i/>
                <w:iCs/>
              </w:rPr>
            </w:pPr>
            <w:r>
              <w:rPr>
                <w:rFonts w:ascii="Aptos" w:hAnsi="Aptos"/>
                <w:b/>
                <w:bCs/>
                <w:i/>
                <w:iCs/>
              </w:rPr>
              <w:t>UIB</w:t>
            </w:r>
          </w:p>
        </w:tc>
        <w:tc>
          <w:tcPr>
            <w:tcW w:w="7647" w:type="dxa"/>
          </w:tcPr>
          <w:p w14:paraId="725A5399" w14:textId="77777777" w:rsidR="00820D25" w:rsidRPr="009D6B86" w:rsidRDefault="00820D25" w:rsidP="001F7EB4">
            <w:pPr>
              <w:pStyle w:val="Sansinterligne"/>
              <w:jc w:val="both"/>
              <w:rPr>
                <w:rFonts w:ascii="Aptos" w:hAnsi="Aptos"/>
              </w:rPr>
            </w:pPr>
          </w:p>
        </w:tc>
      </w:tr>
      <w:tr w:rsidR="00820D25" w14:paraId="1BF71BE2" w14:textId="77777777" w:rsidTr="001F7EB4">
        <w:tc>
          <w:tcPr>
            <w:tcW w:w="2547" w:type="dxa"/>
            <w:vAlign w:val="center"/>
          </w:tcPr>
          <w:p w14:paraId="2D1A6880" w14:textId="435C6219" w:rsidR="00820D25" w:rsidRDefault="00252598" w:rsidP="001F7EB4">
            <w:pPr>
              <w:pStyle w:val="Sansinterligne"/>
              <w:rPr>
                <w:rFonts w:ascii="Aptos" w:hAnsi="Aptos"/>
              </w:rPr>
            </w:pPr>
            <w:r>
              <w:rPr>
                <w:noProof/>
              </w:rPr>
              <w:drawing>
                <wp:inline distT="0" distB="0" distL="0" distR="0" wp14:anchorId="399DEF83" wp14:editId="0AB7AC5F">
                  <wp:extent cx="1228725" cy="685800"/>
                  <wp:effectExtent l="0" t="0" r="9525" b="0"/>
                  <wp:docPr id="18786527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28725" cy="685800"/>
                          </a:xfrm>
                          <a:prstGeom prst="rect">
                            <a:avLst/>
                          </a:prstGeom>
                          <a:noFill/>
                          <a:ln>
                            <a:noFill/>
                          </a:ln>
                        </pic:spPr>
                      </pic:pic>
                    </a:graphicData>
                  </a:graphic>
                </wp:inline>
              </w:drawing>
            </w:r>
          </w:p>
        </w:tc>
        <w:tc>
          <w:tcPr>
            <w:tcW w:w="7647" w:type="dxa"/>
          </w:tcPr>
          <w:p w14:paraId="7783F266" w14:textId="777E8E1E" w:rsidR="00820D25" w:rsidRDefault="002C41BA" w:rsidP="00654D5A">
            <w:pPr>
              <w:pStyle w:val="Sansinterligne"/>
              <w:jc w:val="both"/>
              <w:rPr>
                <w:rFonts w:ascii="Aptos" w:hAnsi="Aptos"/>
              </w:rPr>
            </w:pPr>
            <w:r w:rsidRPr="009D6B86">
              <w:rPr>
                <w:rFonts w:ascii="Aptos" w:hAnsi="Aptos"/>
              </w:rPr>
              <w:t>Créée en 1964, l'UIB – Union internationale de banque – est un acteur majeur du paysage bancaire tunisien.</w:t>
            </w:r>
            <w:r w:rsidR="00654D5A">
              <w:rPr>
                <w:rFonts w:ascii="Aptos" w:hAnsi="Aptos"/>
              </w:rPr>
              <w:t xml:space="preserve"> </w:t>
            </w:r>
            <w:r w:rsidRPr="009D6B86">
              <w:rPr>
                <w:rFonts w:ascii="Aptos" w:hAnsi="Aptos"/>
              </w:rPr>
              <w:t>Cotée à la Bourse de Tunis et privatisée en 2002 avec le rachat d'une partie de son capital par le Groupe Société Générale</w:t>
            </w:r>
            <w:r w:rsidR="00654D5A">
              <w:rPr>
                <w:rFonts w:ascii="Aptos" w:hAnsi="Aptos"/>
              </w:rPr>
              <w:t>, l</w:t>
            </w:r>
            <w:r w:rsidRPr="009D6B86">
              <w:rPr>
                <w:rFonts w:ascii="Aptos" w:hAnsi="Aptos"/>
              </w:rPr>
              <w:t>'UIB offre à l'ensemble de sa clientèle une gamme complète de produits et de services dans les métiers d'investissement et de marchés, ceux de la gestion d'actifs et de portefeuilles, ainsi que dans les activités de recouvrement.</w:t>
            </w:r>
          </w:p>
        </w:tc>
      </w:tr>
      <w:tr w:rsidR="00820D25" w14:paraId="42B776AB" w14:textId="77777777" w:rsidTr="001F7EB4">
        <w:tc>
          <w:tcPr>
            <w:tcW w:w="2547" w:type="dxa"/>
            <w:vAlign w:val="center"/>
          </w:tcPr>
          <w:p w14:paraId="71F56512" w14:textId="77777777" w:rsidR="00820D25" w:rsidRPr="006A7BDE" w:rsidRDefault="00820D25" w:rsidP="001F7EB4">
            <w:pPr>
              <w:pStyle w:val="Sansinterligne"/>
              <w:jc w:val="both"/>
              <w:rPr>
                <w:rFonts w:ascii="Aptos" w:hAnsi="Aptos"/>
                <w:b/>
                <w:bCs/>
                <w:i/>
                <w:iCs/>
              </w:rPr>
            </w:pPr>
            <w:r w:rsidRPr="00E42D09">
              <w:rPr>
                <w:rFonts w:ascii="Aptos" w:hAnsi="Aptos"/>
                <w:b/>
                <w:bCs/>
                <w:i/>
                <w:iCs/>
              </w:rPr>
              <w:t>Norme</w:t>
            </w:r>
            <w:r>
              <w:rPr>
                <w:rFonts w:ascii="Aptos" w:hAnsi="Aptos"/>
                <w:b/>
                <w:bCs/>
                <w:i/>
                <w:iCs/>
              </w:rPr>
              <w:t xml:space="preserve"> MSI 20000</w:t>
            </w:r>
          </w:p>
        </w:tc>
        <w:tc>
          <w:tcPr>
            <w:tcW w:w="7647" w:type="dxa"/>
          </w:tcPr>
          <w:p w14:paraId="6E3357AD" w14:textId="77777777" w:rsidR="00820D25" w:rsidRDefault="00820D25" w:rsidP="001F7EB4">
            <w:pPr>
              <w:pStyle w:val="Sansinterligne"/>
              <w:rPr>
                <w:rFonts w:ascii="Aptos" w:hAnsi="Aptos"/>
              </w:rPr>
            </w:pPr>
          </w:p>
        </w:tc>
      </w:tr>
      <w:tr w:rsidR="00820D25" w14:paraId="35E1C6B4" w14:textId="77777777" w:rsidTr="001F7EB4">
        <w:tc>
          <w:tcPr>
            <w:tcW w:w="2547" w:type="dxa"/>
            <w:vAlign w:val="center"/>
          </w:tcPr>
          <w:p w14:paraId="13504A7A" w14:textId="77777777" w:rsidR="00820D25" w:rsidRDefault="00820D25" w:rsidP="001F7EB4">
            <w:pPr>
              <w:pStyle w:val="Sansinterligne"/>
              <w:rPr>
                <w:rFonts w:ascii="Aptos" w:hAnsi="Aptos"/>
              </w:rPr>
            </w:pPr>
            <w:r>
              <w:rPr>
                <w:rFonts w:ascii="Aptos" w:hAnsi="Aptos"/>
                <w:noProof/>
              </w:rPr>
              <w:drawing>
                <wp:inline distT="0" distB="0" distL="0" distR="0" wp14:anchorId="341333C3" wp14:editId="447A20EA">
                  <wp:extent cx="838800" cy="824400"/>
                  <wp:effectExtent l="0" t="0" r="0" b="0"/>
                  <wp:docPr id="345449598" name="Image 2" descr="Une image contenant texte, jaun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49598" name="Image 2" descr="Une image contenant texte, jaune, Police, Graphiqu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800" cy="824400"/>
                          </a:xfrm>
                          <a:prstGeom prst="rect">
                            <a:avLst/>
                          </a:prstGeom>
                          <a:noFill/>
                        </pic:spPr>
                      </pic:pic>
                    </a:graphicData>
                  </a:graphic>
                </wp:inline>
              </w:drawing>
            </w:r>
          </w:p>
        </w:tc>
        <w:tc>
          <w:tcPr>
            <w:tcW w:w="7647" w:type="dxa"/>
          </w:tcPr>
          <w:p w14:paraId="0A45E152" w14:textId="77777777" w:rsidR="00820D25" w:rsidRDefault="00820D25" w:rsidP="001F7EB4">
            <w:pPr>
              <w:pStyle w:val="Sansinterligne"/>
              <w:jc w:val="both"/>
              <w:rPr>
                <w:rFonts w:ascii="Aptos" w:hAnsi="Aptos"/>
              </w:rPr>
            </w:pPr>
            <w:r w:rsidRPr="00832EA6">
              <w:rPr>
                <w:rFonts w:ascii="Aptos" w:hAnsi="Aptos"/>
              </w:rPr>
              <w:t xml:space="preserve">MSI 20000 est la norme internationale dédiée à la qualité de la situation financière des entreprises. Le processus de certification MSI 20000 analyse les données relatives à la situation financière d’une entreprise. Les cahiers des charges de la norme MSI 20000 s’articulent autour de deux axes d’évaluation : la solidité et la performance financière ; deux composantes au cœur de la rentabilité, la solvabilité et la pérennité des entreprises. La norme est régie à l’échelle internationale par l’IGSF (International Group for </w:t>
            </w:r>
            <w:proofErr w:type="spellStart"/>
            <w:r w:rsidRPr="00832EA6">
              <w:rPr>
                <w:rFonts w:ascii="Aptos" w:hAnsi="Aptos"/>
              </w:rPr>
              <w:t>Sustainable</w:t>
            </w:r>
            <w:proofErr w:type="spellEnd"/>
            <w:r w:rsidRPr="00832EA6">
              <w:rPr>
                <w:rFonts w:ascii="Aptos" w:hAnsi="Aptos"/>
              </w:rPr>
              <w:t xml:space="preserve"> Finance).</w:t>
            </w:r>
          </w:p>
        </w:tc>
      </w:tr>
      <w:tr w:rsidR="00820D25" w14:paraId="16A30097" w14:textId="77777777" w:rsidTr="001F7EB4">
        <w:tc>
          <w:tcPr>
            <w:tcW w:w="2547" w:type="dxa"/>
            <w:vAlign w:val="center"/>
          </w:tcPr>
          <w:p w14:paraId="3190BEE8" w14:textId="2718C123" w:rsidR="00820D25" w:rsidRPr="00DC2982" w:rsidRDefault="00820D25" w:rsidP="001F7EB4">
            <w:pPr>
              <w:pStyle w:val="Sansinterligne"/>
              <w:rPr>
                <w:rFonts w:ascii="Aptos" w:hAnsi="Aptos"/>
                <w:b/>
                <w:bCs/>
                <w:i/>
                <w:iCs/>
              </w:rPr>
            </w:pPr>
            <w:r w:rsidRPr="00D61E7F">
              <w:rPr>
                <w:rFonts w:ascii="Aptos" w:hAnsi="Aptos"/>
                <w:b/>
                <w:bCs/>
                <w:i/>
                <w:iCs/>
              </w:rPr>
              <w:t>IG</w:t>
            </w:r>
            <w:r w:rsidR="00D760A8">
              <w:rPr>
                <w:rFonts w:ascii="Aptos" w:hAnsi="Aptos"/>
                <w:b/>
                <w:bCs/>
                <w:i/>
                <w:iCs/>
              </w:rPr>
              <w:t>SF</w:t>
            </w:r>
          </w:p>
        </w:tc>
        <w:tc>
          <w:tcPr>
            <w:tcW w:w="7647" w:type="dxa"/>
          </w:tcPr>
          <w:p w14:paraId="18F8AA1E" w14:textId="77777777" w:rsidR="00820D25" w:rsidRDefault="00820D25" w:rsidP="001F7EB4">
            <w:pPr>
              <w:pStyle w:val="Sansinterligne"/>
              <w:rPr>
                <w:rFonts w:ascii="Aptos" w:hAnsi="Aptos"/>
              </w:rPr>
            </w:pPr>
          </w:p>
        </w:tc>
      </w:tr>
      <w:tr w:rsidR="00820D25" w14:paraId="20199239" w14:textId="77777777" w:rsidTr="001F7EB4">
        <w:tc>
          <w:tcPr>
            <w:tcW w:w="2547" w:type="dxa"/>
            <w:vAlign w:val="center"/>
          </w:tcPr>
          <w:p w14:paraId="065A6378" w14:textId="77777777" w:rsidR="00820D25" w:rsidRDefault="00820D25" w:rsidP="001F7EB4">
            <w:pPr>
              <w:pStyle w:val="Sansinterligne"/>
              <w:rPr>
                <w:rFonts w:ascii="Aptos" w:hAnsi="Aptos"/>
              </w:rPr>
            </w:pPr>
            <w:r>
              <w:rPr>
                <w:rFonts w:ascii="Aptos" w:hAnsi="Aptos"/>
                <w:noProof/>
              </w:rPr>
              <w:drawing>
                <wp:inline distT="0" distB="0" distL="0" distR="0" wp14:anchorId="53A1E7B8" wp14:editId="1C4D9976">
                  <wp:extent cx="1322705" cy="1054735"/>
                  <wp:effectExtent l="0" t="0" r="0" b="0"/>
                  <wp:docPr id="425268569" name="Image 5" descr="Une image contenant Police, logo, symbol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268569" name="Image 5" descr="Une image contenant Police, logo, symbole, cercle&#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2705" cy="1054735"/>
                          </a:xfrm>
                          <a:prstGeom prst="rect">
                            <a:avLst/>
                          </a:prstGeom>
                          <a:noFill/>
                        </pic:spPr>
                      </pic:pic>
                    </a:graphicData>
                  </a:graphic>
                </wp:inline>
              </w:drawing>
            </w:r>
          </w:p>
        </w:tc>
        <w:tc>
          <w:tcPr>
            <w:tcW w:w="7647" w:type="dxa"/>
          </w:tcPr>
          <w:p w14:paraId="54A6B86D" w14:textId="77777777" w:rsidR="00820D25" w:rsidRPr="00726803" w:rsidRDefault="00820D25" w:rsidP="00726803">
            <w:pPr>
              <w:pStyle w:val="Sansinterligne"/>
              <w:jc w:val="both"/>
              <w:rPr>
                <w:rFonts w:ascii="Aptos" w:hAnsi="Aptos"/>
              </w:rPr>
            </w:pPr>
            <w:r w:rsidRPr="00726803">
              <w:rPr>
                <w:rFonts w:ascii="Aptos" w:hAnsi="Aptos"/>
              </w:rPr>
              <w:t>L’IGSF est une ONG à but non lucratif, basée au Luxembourg, dont les activités ont pour objectif de canaliser et d’organiser les efforts internationaux en matière de normalisation financière et extra-financière.</w:t>
            </w:r>
          </w:p>
          <w:p w14:paraId="1AFE1287" w14:textId="61149769" w:rsidR="00726803" w:rsidRDefault="00820D25" w:rsidP="00726803">
            <w:pPr>
              <w:pStyle w:val="Sansinterligne"/>
              <w:jc w:val="both"/>
              <w:rPr>
                <w:rFonts w:ascii="Aptos" w:hAnsi="Aptos"/>
              </w:rPr>
            </w:pPr>
            <w:r w:rsidRPr="00726803">
              <w:rPr>
                <w:rFonts w:ascii="Aptos" w:hAnsi="Aptos"/>
              </w:rPr>
              <w:t>L’IGSF, en tant qu’entité de normalisation, œuvre principalement sur deux volets : d’une part, l’organisation technique des normes en matière de gouvernance financière et extra-financière et, d’autre part, la diffusion des normes et des bonnes pratiques en général. Les thématiques couvertes au sein de l’IGSF traitent notamment des enjeux en matière de gouvernance financière, de lutte contre la criminalité financière ou encore de responsabilité sociétale des entreprises ou organisations de tout type.</w:t>
            </w:r>
          </w:p>
        </w:tc>
      </w:tr>
      <w:tr w:rsidR="00820D25" w14:paraId="59B2F3BF" w14:textId="77777777" w:rsidTr="001F7EB4">
        <w:tc>
          <w:tcPr>
            <w:tcW w:w="2547" w:type="dxa"/>
            <w:vAlign w:val="center"/>
          </w:tcPr>
          <w:p w14:paraId="100B4BA2" w14:textId="77777777" w:rsidR="00820D25" w:rsidRPr="004B434E" w:rsidRDefault="00820D25" w:rsidP="001F7EB4">
            <w:pPr>
              <w:pStyle w:val="Sansinterligne"/>
              <w:jc w:val="both"/>
              <w:rPr>
                <w:rFonts w:ascii="Aptos" w:hAnsi="Aptos"/>
                <w:b/>
                <w:bCs/>
                <w:i/>
                <w:iCs/>
              </w:rPr>
            </w:pPr>
            <w:r w:rsidRPr="00E42D09">
              <w:rPr>
                <w:rFonts w:ascii="Aptos" w:hAnsi="Aptos"/>
                <w:b/>
                <w:bCs/>
                <w:i/>
                <w:iCs/>
              </w:rPr>
              <w:t>COFICERT</w:t>
            </w:r>
          </w:p>
        </w:tc>
        <w:tc>
          <w:tcPr>
            <w:tcW w:w="7647" w:type="dxa"/>
          </w:tcPr>
          <w:p w14:paraId="1C613ECD" w14:textId="77777777" w:rsidR="00820D25" w:rsidRDefault="00820D25" w:rsidP="001F7EB4">
            <w:pPr>
              <w:pStyle w:val="Sansinterligne"/>
              <w:rPr>
                <w:rFonts w:ascii="Aptos" w:hAnsi="Aptos"/>
              </w:rPr>
            </w:pPr>
          </w:p>
        </w:tc>
      </w:tr>
      <w:tr w:rsidR="00820D25" w14:paraId="02225237" w14:textId="77777777" w:rsidTr="001F7EB4">
        <w:tc>
          <w:tcPr>
            <w:tcW w:w="2547" w:type="dxa"/>
            <w:vAlign w:val="center"/>
          </w:tcPr>
          <w:p w14:paraId="413DC5D8" w14:textId="77777777" w:rsidR="00820D25" w:rsidRPr="00E42D09" w:rsidRDefault="00820D25" w:rsidP="001F7EB4">
            <w:pPr>
              <w:pStyle w:val="Sansinterligne"/>
              <w:jc w:val="both"/>
              <w:rPr>
                <w:rFonts w:ascii="Aptos" w:hAnsi="Aptos"/>
                <w:b/>
                <w:bCs/>
                <w:i/>
                <w:iCs/>
              </w:rPr>
            </w:pPr>
            <w:r>
              <w:rPr>
                <w:rFonts w:ascii="Aptos" w:hAnsi="Aptos"/>
                <w:b/>
                <w:bCs/>
                <w:i/>
                <w:iCs/>
                <w:noProof/>
              </w:rPr>
              <w:drawing>
                <wp:inline distT="0" distB="0" distL="0" distR="0" wp14:anchorId="064DA64E" wp14:editId="6804FF49">
                  <wp:extent cx="1087200" cy="986400"/>
                  <wp:effectExtent l="0" t="0" r="0" b="4445"/>
                  <wp:docPr id="353800988" name="Image 6" descr="Une image contenant Police, capture d’écran, blanc, Rectang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800988" name="Image 6" descr="Une image contenant Police, capture d’écran, blanc, Rectangle&#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7200" cy="986400"/>
                          </a:xfrm>
                          <a:prstGeom prst="rect">
                            <a:avLst/>
                          </a:prstGeom>
                          <a:noFill/>
                        </pic:spPr>
                      </pic:pic>
                    </a:graphicData>
                  </a:graphic>
                </wp:inline>
              </w:drawing>
            </w:r>
          </w:p>
        </w:tc>
        <w:tc>
          <w:tcPr>
            <w:tcW w:w="7647" w:type="dxa"/>
          </w:tcPr>
          <w:p w14:paraId="79DBD90A" w14:textId="77777777" w:rsidR="00820D25" w:rsidRDefault="00820D25" w:rsidP="001F7EB4">
            <w:pPr>
              <w:pStyle w:val="Sansinterligne"/>
              <w:jc w:val="both"/>
              <w:rPr>
                <w:rFonts w:ascii="Aptos" w:hAnsi="Aptos"/>
              </w:rPr>
            </w:pPr>
            <w:r w:rsidRPr="00F530CD">
              <w:rPr>
                <w:rFonts w:ascii="Aptos" w:hAnsi="Aptos"/>
              </w:rPr>
              <w:t xml:space="preserve">COFICERT est un organisme de certification français, spécialisé dans les certifications financières et extra-financières, intervenant dans plus de 40 pays. COFICERT opère historiquement avec, et aux côtés, des organismes de certification et de normalisation internationaux. L’organisme rassemble des experts qualifiés en matière de gouvernance, de lutte contre la criminalité financière et de finance durable. L’activité de COFICERT couvre les thématiques suivantes : </w:t>
            </w:r>
            <w:r>
              <w:rPr>
                <w:rFonts w:ascii="Aptos" w:hAnsi="Aptos"/>
              </w:rPr>
              <w:t>l</w:t>
            </w:r>
            <w:r w:rsidRPr="00F530CD">
              <w:rPr>
                <w:rFonts w:ascii="Aptos" w:hAnsi="Aptos"/>
              </w:rPr>
              <w:t>a solidité et la performance financière (MSI 20000), la responsabilité sociétale des entreprises (ESG 1000), la lutte contre le blanchiment d’argent et le financement du terrorisme (AML 30000), la gouvernance des organisations (ISO 37000) et la lutte contre la corruption (ISO 37001).</w:t>
            </w:r>
          </w:p>
        </w:tc>
      </w:tr>
    </w:tbl>
    <w:p w14:paraId="313AC63C" w14:textId="46DC5A9A" w:rsidR="00AB58FB" w:rsidRPr="00264EBD" w:rsidRDefault="00AB58FB" w:rsidP="00264EBD">
      <w:pPr>
        <w:pStyle w:val="Sansinterligne"/>
        <w:jc w:val="both"/>
        <w:rPr>
          <w:rFonts w:ascii="Aptos" w:hAnsi="Aptos"/>
        </w:rPr>
      </w:pPr>
    </w:p>
    <w:sectPr w:rsidR="00AB58FB" w:rsidRPr="00264EBD" w:rsidSect="00CA485C">
      <w:footerReference w:type="default" r:id="rId13"/>
      <w:pgSz w:w="11906" w:h="16838" w:code="9"/>
      <w:pgMar w:top="1701" w:right="851" w:bottom="1418" w:left="851" w:header="709"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0594F" w14:textId="77777777" w:rsidR="002350D2" w:rsidRDefault="002350D2" w:rsidP="00BE1E48">
      <w:pPr>
        <w:spacing w:after="0" w:line="240" w:lineRule="auto"/>
      </w:pPr>
      <w:r>
        <w:separator/>
      </w:r>
    </w:p>
  </w:endnote>
  <w:endnote w:type="continuationSeparator" w:id="0">
    <w:p w14:paraId="471616CF" w14:textId="77777777" w:rsidR="002350D2" w:rsidRDefault="002350D2" w:rsidP="00BE1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EA8A1" w14:textId="77777777" w:rsidR="00CA485C" w:rsidRPr="00566CB0" w:rsidRDefault="00CA485C" w:rsidP="00CA485C">
    <w:pPr>
      <w:pStyle w:val="Sansinterligne"/>
      <w:rPr>
        <w:rFonts w:ascii="Aptos" w:hAnsi="Aptos"/>
        <w:b/>
        <w:bCs/>
        <w:color w:val="002060"/>
        <w:sz w:val="24"/>
        <w:szCs w:val="24"/>
      </w:rPr>
    </w:pPr>
    <w:r w:rsidRPr="00566CB0">
      <w:rPr>
        <w:rFonts w:ascii="Aptos" w:hAnsi="Aptos"/>
        <w:b/>
        <w:bCs/>
        <w:color w:val="002060"/>
        <w:sz w:val="24"/>
        <w:szCs w:val="24"/>
      </w:rPr>
      <w:t>AELIUM Tunisie</w:t>
    </w:r>
  </w:p>
  <w:p w14:paraId="1D98033B" w14:textId="77777777" w:rsidR="00CA485C" w:rsidRPr="00566CB0" w:rsidRDefault="00CA485C" w:rsidP="00CA485C">
    <w:pPr>
      <w:pStyle w:val="Sansinterligne"/>
      <w:rPr>
        <w:rFonts w:ascii="Aptos" w:hAnsi="Aptos"/>
        <w:color w:val="002060"/>
        <w:sz w:val="20"/>
        <w:szCs w:val="20"/>
      </w:rPr>
    </w:pPr>
    <w:r w:rsidRPr="00566CB0">
      <w:rPr>
        <w:rFonts w:ascii="Aptos" w:hAnsi="Aptos"/>
        <w:color w:val="002060"/>
        <w:sz w:val="20"/>
        <w:szCs w:val="20"/>
      </w:rPr>
      <w:t xml:space="preserve">Agence de Communication Financière </w:t>
    </w:r>
  </w:p>
  <w:p w14:paraId="5ACD2C51" w14:textId="76F84868" w:rsidR="000C3E5D" w:rsidRPr="00CA485C" w:rsidRDefault="000C3E5D" w:rsidP="00CA485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0E411" w14:textId="77777777" w:rsidR="002350D2" w:rsidRDefault="002350D2" w:rsidP="00BE1E48">
      <w:pPr>
        <w:spacing w:after="0" w:line="240" w:lineRule="auto"/>
      </w:pPr>
      <w:r>
        <w:separator/>
      </w:r>
    </w:p>
  </w:footnote>
  <w:footnote w:type="continuationSeparator" w:id="0">
    <w:p w14:paraId="2280ACE3" w14:textId="77777777" w:rsidR="002350D2" w:rsidRDefault="002350D2" w:rsidP="00BE1E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B23"/>
    <w:rsid w:val="000108C8"/>
    <w:rsid w:val="000149A8"/>
    <w:rsid w:val="00043F2C"/>
    <w:rsid w:val="00050693"/>
    <w:rsid w:val="00053B1D"/>
    <w:rsid w:val="0006080B"/>
    <w:rsid w:val="000737E2"/>
    <w:rsid w:val="0008741F"/>
    <w:rsid w:val="000B14B6"/>
    <w:rsid w:val="000B1D9D"/>
    <w:rsid w:val="000B374F"/>
    <w:rsid w:val="000C34A0"/>
    <w:rsid w:val="000C3E5D"/>
    <w:rsid w:val="000C5E47"/>
    <w:rsid w:val="000E47AC"/>
    <w:rsid w:val="000E51C8"/>
    <w:rsid w:val="000F1201"/>
    <w:rsid w:val="000F4E85"/>
    <w:rsid w:val="00101C3D"/>
    <w:rsid w:val="00105133"/>
    <w:rsid w:val="00117F6A"/>
    <w:rsid w:val="001236EA"/>
    <w:rsid w:val="0013209F"/>
    <w:rsid w:val="00133C45"/>
    <w:rsid w:val="0014578E"/>
    <w:rsid w:val="00167192"/>
    <w:rsid w:val="00171822"/>
    <w:rsid w:val="001739FD"/>
    <w:rsid w:val="00180230"/>
    <w:rsid w:val="00181684"/>
    <w:rsid w:val="0018223C"/>
    <w:rsid w:val="0019548D"/>
    <w:rsid w:val="00196D01"/>
    <w:rsid w:val="001A1DB0"/>
    <w:rsid w:val="001A40EB"/>
    <w:rsid w:val="001A62B4"/>
    <w:rsid w:val="001B5C4E"/>
    <w:rsid w:val="001D0088"/>
    <w:rsid w:val="001E4226"/>
    <w:rsid w:val="001E60E2"/>
    <w:rsid w:val="001F44CE"/>
    <w:rsid w:val="002248D8"/>
    <w:rsid w:val="00232FE6"/>
    <w:rsid w:val="002350D2"/>
    <w:rsid w:val="00240CAD"/>
    <w:rsid w:val="00252598"/>
    <w:rsid w:val="0025491E"/>
    <w:rsid w:val="00256894"/>
    <w:rsid w:val="00257514"/>
    <w:rsid w:val="00262461"/>
    <w:rsid w:val="00264EBD"/>
    <w:rsid w:val="00273515"/>
    <w:rsid w:val="0027549D"/>
    <w:rsid w:val="002824B7"/>
    <w:rsid w:val="002B20F2"/>
    <w:rsid w:val="002C0600"/>
    <w:rsid w:val="002C41BA"/>
    <w:rsid w:val="002C474C"/>
    <w:rsid w:val="002C533A"/>
    <w:rsid w:val="002C6169"/>
    <w:rsid w:val="002D2B5A"/>
    <w:rsid w:val="002D43D6"/>
    <w:rsid w:val="002F02D1"/>
    <w:rsid w:val="0030339A"/>
    <w:rsid w:val="003134D5"/>
    <w:rsid w:val="00317099"/>
    <w:rsid w:val="003430DF"/>
    <w:rsid w:val="00344193"/>
    <w:rsid w:val="0035379E"/>
    <w:rsid w:val="0035664F"/>
    <w:rsid w:val="0036353D"/>
    <w:rsid w:val="003741D8"/>
    <w:rsid w:val="003A6CB7"/>
    <w:rsid w:val="003B047C"/>
    <w:rsid w:val="003B14A7"/>
    <w:rsid w:val="003C1D12"/>
    <w:rsid w:val="003D44D2"/>
    <w:rsid w:val="003E6146"/>
    <w:rsid w:val="003F7B90"/>
    <w:rsid w:val="003F7C62"/>
    <w:rsid w:val="00400477"/>
    <w:rsid w:val="00401F14"/>
    <w:rsid w:val="00402BD4"/>
    <w:rsid w:val="00406892"/>
    <w:rsid w:val="00414E4B"/>
    <w:rsid w:val="00435E09"/>
    <w:rsid w:val="00441BB8"/>
    <w:rsid w:val="0045718F"/>
    <w:rsid w:val="00466BB3"/>
    <w:rsid w:val="00472935"/>
    <w:rsid w:val="00472D53"/>
    <w:rsid w:val="00473D65"/>
    <w:rsid w:val="00482FAD"/>
    <w:rsid w:val="004A67A7"/>
    <w:rsid w:val="004A72CD"/>
    <w:rsid w:val="004C3013"/>
    <w:rsid w:val="004C4D74"/>
    <w:rsid w:val="004D51A0"/>
    <w:rsid w:val="004E313D"/>
    <w:rsid w:val="004E3996"/>
    <w:rsid w:val="004F7F69"/>
    <w:rsid w:val="005033B2"/>
    <w:rsid w:val="00503953"/>
    <w:rsid w:val="00504489"/>
    <w:rsid w:val="00506FEE"/>
    <w:rsid w:val="00507505"/>
    <w:rsid w:val="00521BB1"/>
    <w:rsid w:val="00522BDB"/>
    <w:rsid w:val="00524CBB"/>
    <w:rsid w:val="0052755A"/>
    <w:rsid w:val="0053775F"/>
    <w:rsid w:val="00557946"/>
    <w:rsid w:val="00577365"/>
    <w:rsid w:val="00585EEE"/>
    <w:rsid w:val="005A2FE9"/>
    <w:rsid w:val="005A33EE"/>
    <w:rsid w:val="005C3487"/>
    <w:rsid w:val="005C3D71"/>
    <w:rsid w:val="005D1BE1"/>
    <w:rsid w:val="005D36F4"/>
    <w:rsid w:val="005D6D5A"/>
    <w:rsid w:val="005E2658"/>
    <w:rsid w:val="005E71A3"/>
    <w:rsid w:val="005F77FE"/>
    <w:rsid w:val="005F7B23"/>
    <w:rsid w:val="0061211E"/>
    <w:rsid w:val="0061689B"/>
    <w:rsid w:val="00626B74"/>
    <w:rsid w:val="00631FA9"/>
    <w:rsid w:val="00637DB1"/>
    <w:rsid w:val="00654D5A"/>
    <w:rsid w:val="00664A1D"/>
    <w:rsid w:val="00664B88"/>
    <w:rsid w:val="00666DC3"/>
    <w:rsid w:val="00670EBA"/>
    <w:rsid w:val="00673113"/>
    <w:rsid w:val="00673C81"/>
    <w:rsid w:val="00675A16"/>
    <w:rsid w:val="0069652B"/>
    <w:rsid w:val="006B062A"/>
    <w:rsid w:val="006D0550"/>
    <w:rsid w:val="006D4291"/>
    <w:rsid w:val="006D49C8"/>
    <w:rsid w:val="006E27C3"/>
    <w:rsid w:val="006E6AD6"/>
    <w:rsid w:val="006F26CB"/>
    <w:rsid w:val="0070287A"/>
    <w:rsid w:val="007070E3"/>
    <w:rsid w:val="007106C7"/>
    <w:rsid w:val="0071377B"/>
    <w:rsid w:val="00726803"/>
    <w:rsid w:val="00726A51"/>
    <w:rsid w:val="00734228"/>
    <w:rsid w:val="0074133A"/>
    <w:rsid w:val="00746535"/>
    <w:rsid w:val="0074673A"/>
    <w:rsid w:val="0075106F"/>
    <w:rsid w:val="00751FD9"/>
    <w:rsid w:val="00763170"/>
    <w:rsid w:val="007857A0"/>
    <w:rsid w:val="00795DDD"/>
    <w:rsid w:val="007A7835"/>
    <w:rsid w:val="007C1727"/>
    <w:rsid w:val="007C4A43"/>
    <w:rsid w:val="007C77BC"/>
    <w:rsid w:val="007D0E87"/>
    <w:rsid w:val="007D38AC"/>
    <w:rsid w:val="007D6959"/>
    <w:rsid w:val="007E11DB"/>
    <w:rsid w:val="007E3296"/>
    <w:rsid w:val="007F5D20"/>
    <w:rsid w:val="00802F62"/>
    <w:rsid w:val="00806171"/>
    <w:rsid w:val="00820D25"/>
    <w:rsid w:val="00822DEE"/>
    <w:rsid w:val="0084780A"/>
    <w:rsid w:val="008702EE"/>
    <w:rsid w:val="00890BC7"/>
    <w:rsid w:val="00891503"/>
    <w:rsid w:val="008B064A"/>
    <w:rsid w:val="008B0D3F"/>
    <w:rsid w:val="008B31CF"/>
    <w:rsid w:val="008C55A9"/>
    <w:rsid w:val="008E41DA"/>
    <w:rsid w:val="008F1339"/>
    <w:rsid w:val="00905E3F"/>
    <w:rsid w:val="009112F3"/>
    <w:rsid w:val="0092276D"/>
    <w:rsid w:val="00936BA0"/>
    <w:rsid w:val="0094577A"/>
    <w:rsid w:val="009537CB"/>
    <w:rsid w:val="00954FBA"/>
    <w:rsid w:val="0095764F"/>
    <w:rsid w:val="0095766D"/>
    <w:rsid w:val="009702BD"/>
    <w:rsid w:val="00976C71"/>
    <w:rsid w:val="00976D65"/>
    <w:rsid w:val="00982633"/>
    <w:rsid w:val="009830EC"/>
    <w:rsid w:val="00997119"/>
    <w:rsid w:val="009E1BBE"/>
    <w:rsid w:val="009F7375"/>
    <w:rsid w:val="00A021D3"/>
    <w:rsid w:val="00A33941"/>
    <w:rsid w:val="00A35DC0"/>
    <w:rsid w:val="00A46EC8"/>
    <w:rsid w:val="00A56B6A"/>
    <w:rsid w:val="00A56FF8"/>
    <w:rsid w:val="00A90557"/>
    <w:rsid w:val="00A9584E"/>
    <w:rsid w:val="00AB2E03"/>
    <w:rsid w:val="00AB4D1D"/>
    <w:rsid w:val="00AB58FB"/>
    <w:rsid w:val="00AC0EF7"/>
    <w:rsid w:val="00AD297C"/>
    <w:rsid w:val="00AD29E8"/>
    <w:rsid w:val="00AE0B6C"/>
    <w:rsid w:val="00AE311D"/>
    <w:rsid w:val="00AE4F49"/>
    <w:rsid w:val="00AF1E00"/>
    <w:rsid w:val="00AF530E"/>
    <w:rsid w:val="00AF67D2"/>
    <w:rsid w:val="00AF7409"/>
    <w:rsid w:val="00B027A5"/>
    <w:rsid w:val="00B04A01"/>
    <w:rsid w:val="00B10F35"/>
    <w:rsid w:val="00B172E0"/>
    <w:rsid w:val="00B2073D"/>
    <w:rsid w:val="00B30FF2"/>
    <w:rsid w:val="00B45C5C"/>
    <w:rsid w:val="00B51DCA"/>
    <w:rsid w:val="00B535EB"/>
    <w:rsid w:val="00B5469A"/>
    <w:rsid w:val="00B55E77"/>
    <w:rsid w:val="00B56761"/>
    <w:rsid w:val="00B745F3"/>
    <w:rsid w:val="00B909C4"/>
    <w:rsid w:val="00B95AFE"/>
    <w:rsid w:val="00B96AEF"/>
    <w:rsid w:val="00BA0579"/>
    <w:rsid w:val="00BA4307"/>
    <w:rsid w:val="00BA6890"/>
    <w:rsid w:val="00BA75FF"/>
    <w:rsid w:val="00BB2B2C"/>
    <w:rsid w:val="00BB3F68"/>
    <w:rsid w:val="00BB59E7"/>
    <w:rsid w:val="00BB7031"/>
    <w:rsid w:val="00BB7DC7"/>
    <w:rsid w:val="00BD5ACD"/>
    <w:rsid w:val="00BE1E48"/>
    <w:rsid w:val="00BE6023"/>
    <w:rsid w:val="00BF1446"/>
    <w:rsid w:val="00C06FAB"/>
    <w:rsid w:val="00C3582B"/>
    <w:rsid w:val="00C501C5"/>
    <w:rsid w:val="00C67C6C"/>
    <w:rsid w:val="00C706E7"/>
    <w:rsid w:val="00C80175"/>
    <w:rsid w:val="00C877D6"/>
    <w:rsid w:val="00C87B7A"/>
    <w:rsid w:val="00C87CE8"/>
    <w:rsid w:val="00C90C65"/>
    <w:rsid w:val="00C911EB"/>
    <w:rsid w:val="00C93695"/>
    <w:rsid w:val="00C937EB"/>
    <w:rsid w:val="00C93DEA"/>
    <w:rsid w:val="00C97DD5"/>
    <w:rsid w:val="00CA1E49"/>
    <w:rsid w:val="00CA4635"/>
    <w:rsid w:val="00CA485C"/>
    <w:rsid w:val="00CA48F2"/>
    <w:rsid w:val="00CC0118"/>
    <w:rsid w:val="00CD21F5"/>
    <w:rsid w:val="00CD714B"/>
    <w:rsid w:val="00CE2BEB"/>
    <w:rsid w:val="00CE591B"/>
    <w:rsid w:val="00CE669F"/>
    <w:rsid w:val="00CF4078"/>
    <w:rsid w:val="00D0612C"/>
    <w:rsid w:val="00D21028"/>
    <w:rsid w:val="00D230A8"/>
    <w:rsid w:val="00D236C6"/>
    <w:rsid w:val="00D35552"/>
    <w:rsid w:val="00D40C7D"/>
    <w:rsid w:val="00D41BC6"/>
    <w:rsid w:val="00D436C6"/>
    <w:rsid w:val="00D61E7F"/>
    <w:rsid w:val="00D648A8"/>
    <w:rsid w:val="00D66A34"/>
    <w:rsid w:val="00D67488"/>
    <w:rsid w:val="00D748DB"/>
    <w:rsid w:val="00D760A8"/>
    <w:rsid w:val="00D82B29"/>
    <w:rsid w:val="00D84B46"/>
    <w:rsid w:val="00D86B64"/>
    <w:rsid w:val="00D90113"/>
    <w:rsid w:val="00D95E70"/>
    <w:rsid w:val="00DA7D01"/>
    <w:rsid w:val="00DB0B17"/>
    <w:rsid w:val="00DB44D6"/>
    <w:rsid w:val="00DB45BA"/>
    <w:rsid w:val="00DB5D8B"/>
    <w:rsid w:val="00DC0190"/>
    <w:rsid w:val="00DC5C38"/>
    <w:rsid w:val="00DD6411"/>
    <w:rsid w:val="00DD7B80"/>
    <w:rsid w:val="00E06783"/>
    <w:rsid w:val="00E224FE"/>
    <w:rsid w:val="00E42D09"/>
    <w:rsid w:val="00E528C1"/>
    <w:rsid w:val="00E67ECB"/>
    <w:rsid w:val="00E71581"/>
    <w:rsid w:val="00E934B2"/>
    <w:rsid w:val="00E943DF"/>
    <w:rsid w:val="00EA1C00"/>
    <w:rsid w:val="00EA1EB8"/>
    <w:rsid w:val="00EA3BC4"/>
    <w:rsid w:val="00EB0A4D"/>
    <w:rsid w:val="00EB2F86"/>
    <w:rsid w:val="00EB68FF"/>
    <w:rsid w:val="00ED202D"/>
    <w:rsid w:val="00EF6B04"/>
    <w:rsid w:val="00F25AB6"/>
    <w:rsid w:val="00F41203"/>
    <w:rsid w:val="00F67E42"/>
    <w:rsid w:val="00F72955"/>
    <w:rsid w:val="00F73785"/>
    <w:rsid w:val="00F75043"/>
    <w:rsid w:val="00F761C6"/>
    <w:rsid w:val="00F82916"/>
    <w:rsid w:val="00F90E61"/>
    <w:rsid w:val="00F946CB"/>
    <w:rsid w:val="00FA25F1"/>
    <w:rsid w:val="00FC0488"/>
    <w:rsid w:val="00FC4921"/>
    <w:rsid w:val="00FD426A"/>
    <w:rsid w:val="00FF381D"/>
    <w:rsid w:val="00FF4F2E"/>
    <w:rsid w:val="00FF737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B040B"/>
  <w15:chartTrackingRefBased/>
  <w15:docId w15:val="{693A8314-8CD7-40F4-9C14-794A90F36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F7B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5F7B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5F7B23"/>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5F7B23"/>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5F7B23"/>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5F7B2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F7B2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F7B2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F7B2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7B23"/>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5F7B23"/>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5F7B23"/>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5F7B23"/>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5F7B23"/>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5F7B2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F7B2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F7B2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F7B23"/>
    <w:rPr>
      <w:rFonts w:eastAsiaTheme="majorEastAsia" w:cstheme="majorBidi"/>
      <w:color w:val="272727" w:themeColor="text1" w:themeTint="D8"/>
    </w:rPr>
  </w:style>
  <w:style w:type="paragraph" w:styleId="Titre">
    <w:name w:val="Title"/>
    <w:basedOn w:val="Normal"/>
    <w:next w:val="Normal"/>
    <w:link w:val="TitreCar"/>
    <w:uiPriority w:val="10"/>
    <w:qFormat/>
    <w:rsid w:val="005F7B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F7B2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F7B2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F7B2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F7B23"/>
    <w:pPr>
      <w:spacing w:before="160"/>
      <w:jc w:val="center"/>
    </w:pPr>
    <w:rPr>
      <w:i/>
      <w:iCs/>
      <w:color w:val="404040" w:themeColor="text1" w:themeTint="BF"/>
    </w:rPr>
  </w:style>
  <w:style w:type="character" w:customStyle="1" w:styleId="CitationCar">
    <w:name w:val="Citation Car"/>
    <w:basedOn w:val="Policepardfaut"/>
    <w:link w:val="Citation"/>
    <w:uiPriority w:val="29"/>
    <w:rsid w:val="005F7B23"/>
    <w:rPr>
      <w:i/>
      <w:iCs/>
      <w:color w:val="404040" w:themeColor="text1" w:themeTint="BF"/>
    </w:rPr>
  </w:style>
  <w:style w:type="paragraph" w:styleId="Paragraphedeliste">
    <w:name w:val="List Paragraph"/>
    <w:basedOn w:val="Normal"/>
    <w:uiPriority w:val="34"/>
    <w:qFormat/>
    <w:rsid w:val="005F7B23"/>
    <w:pPr>
      <w:ind w:left="720"/>
      <w:contextualSpacing/>
    </w:pPr>
  </w:style>
  <w:style w:type="character" w:styleId="Accentuationintense">
    <w:name w:val="Intense Emphasis"/>
    <w:basedOn w:val="Policepardfaut"/>
    <w:uiPriority w:val="21"/>
    <w:qFormat/>
    <w:rsid w:val="005F7B23"/>
    <w:rPr>
      <w:i/>
      <w:iCs/>
      <w:color w:val="2F5496" w:themeColor="accent1" w:themeShade="BF"/>
    </w:rPr>
  </w:style>
  <w:style w:type="paragraph" w:styleId="Citationintense">
    <w:name w:val="Intense Quote"/>
    <w:basedOn w:val="Normal"/>
    <w:next w:val="Normal"/>
    <w:link w:val="CitationintenseCar"/>
    <w:uiPriority w:val="30"/>
    <w:qFormat/>
    <w:rsid w:val="005F7B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5F7B23"/>
    <w:rPr>
      <w:i/>
      <w:iCs/>
      <w:color w:val="2F5496" w:themeColor="accent1" w:themeShade="BF"/>
    </w:rPr>
  </w:style>
  <w:style w:type="character" w:styleId="Rfrenceintense">
    <w:name w:val="Intense Reference"/>
    <w:basedOn w:val="Policepardfaut"/>
    <w:uiPriority w:val="32"/>
    <w:qFormat/>
    <w:rsid w:val="005F7B23"/>
    <w:rPr>
      <w:b/>
      <w:bCs/>
      <w:smallCaps/>
      <w:color w:val="2F5496" w:themeColor="accent1" w:themeShade="BF"/>
      <w:spacing w:val="5"/>
    </w:rPr>
  </w:style>
  <w:style w:type="paragraph" w:styleId="En-tte">
    <w:name w:val="header"/>
    <w:basedOn w:val="Normal"/>
    <w:link w:val="En-tteCar"/>
    <w:uiPriority w:val="99"/>
    <w:unhideWhenUsed/>
    <w:rsid w:val="00BE1E48"/>
    <w:pPr>
      <w:tabs>
        <w:tab w:val="center" w:pos="4536"/>
        <w:tab w:val="right" w:pos="9072"/>
      </w:tabs>
      <w:spacing w:after="0" w:line="240" w:lineRule="auto"/>
    </w:pPr>
  </w:style>
  <w:style w:type="character" w:customStyle="1" w:styleId="En-tteCar">
    <w:name w:val="En-tête Car"/>
    <w:basedOn w:val="Policepardfaut"/>
    <w:link w:val="En-tte"/>
    <w:uiPriority w:val="99"/>
    <w:rsid w:val="00BE1E48"/>
  </w:style>
  <w:style w:type="paragraph" w:styleId="Pieddepage">
    <w:name w:val="footer"/>
    <w:basedOn w:val="Normal"/>
    <w:link w:val="PieddepageCar"/>
    <w:uiPriority w:val="99"/>
    <w:unhideWhenUsed/>
    <w:rsid w:val="00BE1E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1E48"/>
  </w:style>
  <w:style w:type="table" w:styleId="Grilledutableau">
    <w:name w:val="Table Grid"/>
    <w:basedOn w:val="TableauNormal"/>
    <w:uiPriority w:val="39"/>
    <w:rsid w:val="00BE1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E1E48"/>
    <w:rPr>
      <w:color w:val="0563C1" w:themeColor="hyperlink"/>
      <w:u w:val="single"/>
    </w:rPr>
  </w:style>
  <w:style w:type="character" w:styleId="Mentionnonrsolue">
    <w:name w:val="Unresolved Mention"/>
    <w:basedOn w:val="Policepardfaut"/>
    <w:uiPriority w:val="99"/>
    <w:semiHidden/>
    <w:unhideWhenUsed/>
    <w:rsid w:val="00BE1E48"/>
    <w:rPr>
      <w:color w:val="605E5C"/>
      <w:shd w:val="clear" w:color="auto" w:fill="E1DFDD"/>
    </w:rPr>
  </w:style>
  <w:style w:type="paragraph" w:styleId="Sansinterligne">
    <w:name w:val="No Spacing"/>
    <w:uiPriority w:val="1"/>
    <w:qFormat/>
    <w:rsid w:val="00F82916"/>
    <w:pPr>
      <w:spacing w:after="0" w:line="240" w:lineRule="auto"/>
    </w:pPr>
  </w:style>
  <w:style w:type="paragraph" w:styleId="Rvision">
    <w:name w:val="Revision"/>
    <w:hidden/>
    <w:uiPriority w:val="99"/>
    <w:semiHidden/>
    <w:rsid w:val="005C3D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cid:image001.png@01DACC7F.FEFA2450"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2013 – 2022">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692</Words>
  <Characters>3946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Moez HADIDANE</dc:creator>
  <cp:keywords/>
  <dc:description/>
  <cp:lastModifiedBy>Souheil Skander</cp:lastModifiedBy>
  <cp:revision>5</cp:revision>
  <dcterms:created xsi:type="dcterms:W3CDTF">2024-07-03T09:49:00Z</dcterms:created>
  <dcterms:modified xsi:type="dcterms:W3CDTF">2024-07-03T19:21:00Z</dcterms:modified>
</cp:coreProperties>
</file>